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media/rId20.jpg" ContentType="image/jpeg"/>
  <Override PartName="/word/media/image2.jpeg" ContentType="image/jpeg"/>
  <Override PartName="/word/media/image4.png" ContentType="image/png"/>
  <Override PartName="/word/media/image3.jpeg" ContentType="image/jpeg"/>
  <Override PartName="/word/media/image5.jpeg" ContentType="image/jpeg"/>
  <Override PartName="/word/media/image6.jpeg" ContentType="image/jpeg"/>
  <Override PartName="/word/media/image1.jpe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bCs/>
          <w:b/>
        </w:rPr>
        <w:t xml:space="preserve">Armênia, Terra de ricas emoções</w:t>
      </w:r>
    </w:p>
    <w:p>
      <w:pPr>
        <w:pStyle w:val="BlockText"/>
      </w:pPr>
      <w:r>
        <w:rPr>
          <w:bCs/>
          <w:b/>
        </w:rPr>
        <w:t xml:space="preserve">7 dias e 6 noites para 2026</w:t>
      </w:r>
    </w:p>
    <w:p>
      <w:pPr>
        <w:pStyle w:val="FirstParagraph"/>
      </w:pPr>
      <w:r>
        <w:drawing>
          <wp:inline>
            <wp:extent cx="5257800" cy="26079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./media/image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6079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Dias de saída do país de origem (todos os sábados)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iCs/>
                <w:i/>
                <w:bCs/>
                <w:b/>
              </w:rPr>
              <w:t xml:space="preserve">SAÍDAS TODOS OS SÁBADOS – MÍNIMO DE PARTICIPANTES 2 PESSOAS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iCs/>
                <w:i/>
                <w:bCs/>
                <w:b/>
              </w:rPr>
              <w:t xml:space="preserve">JANEIRO: 10,17,24,31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iCs/>
                <w:i/>
                <w:bCs/>
                <w:b/>
              </w:rPr>
              <w:t xml:space="preserve">MAIO: 2,9,16,23,30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iCs/>
                <w:i/>
                <w:bCs/>
                <w:b/>
              </w:rPr>
              <w:t xml:space="preserve">SETEMBRO: 5,12,19,26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iCs/>
                <w:i/>
                <w:bCs/>
                <w:b/>
              </w:rPr>
              <w:t xml:space="preserve">740 US$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iCs/>
                <w:i/>
                <w:bCs/>
                <w:b/>
              </w:rPr>
              <w:t xml:space="preserve">FEVEREIRO: 7,14,21,28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iCs/>
                <w:i/>
                <w:bCs/>
                <w:b/>
              </w:rPr>
              <w:t xml:space="preserve">JUNHO: 6,13,20,27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iCs/>
                <w:i/>
                <w:bCs/>
                <w:b/>
              </w:rPr>
              <w:t xml:space="preserve">OUTUBRO: 3,10,17,24,31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iCs/>
                <w:i/>
                <w:bCs/>
                <w:b/>
              </w:rPr>
              <w:t xml:space="preserve">MARÇO: 7,14,21,28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iCs/>
                <w:i/>
                <w:bCs/>
                <w:b/>
              </w:rPr>
              <w:t xml:space="preserve">JULHO: 4,11,18,25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iCs/>
                <w:i/>
                <w:bCs/>
                <w:b/>
              </w:rPr>
              <w:t xml:space="preserve">NOVEMBRO: 7,14,21,28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iCs/>
                <w:i/>
                <w:bCs/>
                <w:b/>
              </w:rPr>
              <w:t xml:space="preserve">ABRIL: 4,11,18,25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iCs/>
                <w:i/>
                <w:bCs/>
                <w:b/>
              </w:rPr>
              <w:t xml:space="preserve">AGOSTO: 1,8,15,22,29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iCs/>
                <w:i/>
                <w:bCs/>
                <w:b/>
              </w:rPr>
              <w:t xml:space="preserve">DEZEMBRO: 5,12,19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iCs/>
          <w:i/>
          <w:bCs/>
          <w:b/>
        </w:rPr>
        <w:t xml:space="preserve">Itinerário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Dia 1 Saída do país e viagem à Armênia</w:t>
      </w:r>
    </w:p>
    <w:p>
      <w:pPr>
        <w:pStyle w:val="BodyText"/>
      </w:pPr>
      <w:r>
        <w:rPr>
          <w:iCs/>
          <w:i/>
        </w:rPr>
        <w:t xml:space="preserve">Saída do país de origem e viagem à Armênia.</w:t>
      </w:r>
    </w:p>
    <w:p>
      <w:pPr>
        <w:pStyle w:val="BodyText"/>
      </w:pPr>
      <w:r>
        <w:rPr>
          <w:iCs/>
          <w:i/>
        </w:rPr>
        <w:t xml:space="preserve">Chegada ao aeroporto Zvartnots. Chegada à capital da Armênia –</w:t>
      </w:r>
      <w:r>
        <w:rPr>
          <w:iCs/>
          <w:i/>
        </w:rPr>
        <w:t xml:space="preserve"> </w:t>
      </w:r>
      <w:r>
        <w:rPr>
          <w:iCs/>
          <w:i/>
        </w:rPr>
        <w:t xml:space="preserve">Erevã (2800 anos de idade, mais antiga que Roma). Traslado ao hotel.</w:t>
      </w:r>
      <w:r>
        <w:rPr>
          <w:iCs/>
          <w:i/>
        </w:rPr>
        <w:t xml:space="preserve"> </w:t>
      </w:r>
      <w:r>
        <w:rPr>
          <w:iCs/>
          <w:i/>
        </w:rPr>
        <w:t xml:space="preserve">Tempo para descansar.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Dia 2 Erevã – passeio pela cidade (D/-/-)</w:t>
      </w:r>
    </w:p>
    <w:p>
      <w:pPr>
        <w:pStyle w:val="BodyText"/>
      </w:pPr>
      <w:r>
        <w:rPr>
          <w:iCs/>
          <w:i/>
        </w:rPr>
        <w:t xml:space="preserve">Café da manhã no hotel. Visita panorâmica da cidade, subindo ao</w:t>
      </w:r>
      <w:r>
        <w:rPr>
          <w:iCs/>
          <w:i/>
        </w:rPr>
        <w:t xml:space="preserve"> </w:t>
      </w:r>
      <w:r>
        <w:rPr>
          <w:iCs/>
          <w:i/>
        </w:rPr>
        <w:t xml:space="preserve">monumento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“</w:t>
      </w:r>
      <w:r>
        <w:rPr>
          <w:bCs/>
          <w:b/>
          <w:iCs/>
          <w:i/>
        </w:rPr>
        <w:t xml:space="preserve">Cascata</w:t>
      </w:r>
      <w:r>
        <w:rPr>
          <w:bCs/>
          <w:b/>
          <w:iCs/>
          <w:i/>
        </w:rPr>
        <w:t xml:space="preserve">”</w:t>
      </w:r>
      <w:r>
        <w:rPr>
          <w:iCs/>
          <w:i/>
        </w:rPr>
        <w:t xml:space="preserve">, de onde apreciaremos a bela vista</w:t>
      </w:r>
      <w:r>
        <w:rPr>
          <w:iCs/>
          <w:i/>
        </w:rPr>
        <w:t xml:space="preserve"> </w:t>
      </w:r>
      <w:r>
        <w:rPr>
          <w:iCs/>
          <w:i/>
        </w:rPr>
        <w:t xml:space="preserve">panorâmica da cidade; continuaremos nossa visita a pé pelo centro da</w:t>
      </w:r>
      <w:r>
        <w:rPr>
          <w:iCs/>
          <w:i/>
        </w:rPr>
        <w:t xml:space="preserve"> </w:t>
      </w:r>
      <w:r>
        <w:rPr>
          <w:iCs/>
          <w:i/>
        </w:rPr>
        <w:t xml:space="preserve">cidade, pelo parque da cidade. Seguiremos para o Tsitsernakaberd</w:t>
      </w:r>
      <w:r>
        <w:rPr>
          <w:iCs/>
          <w:i/>
        </w:rPr>
        <w:t xml:space="preserve"> </w:t>
      </w:r>
      <w:r>
        <w:rPr>
          <w:iCs/>
          <w:i/>
        </w:rPr>
        <w:t xml:space="preserve">– monumento dedicado às vítimas do Genocídio Armênio de 1915. Viagem</w:t>
      </w:r>
      <w:r>
        <w:rPr>
          <w:iCs/>
          <w:i/>
        </w:rPr>
        <w:t xml:space="preserve"> </w:t>
      </w:r>
      <w:r>
        <w:rPr>
          <w:iCs/>
          <w:i/>
        </w:rPr>
        <w:t xml:space="preserve">de metrô (a rua Abovyan, a Praça da República, o mercado de</w:t>
      </w:r>
      <w:r>
        <w:rPr>
          <w:iCs/>
          <w:i/>
        </w:rPr>
        <w:t xml:space="preserve"> </w:t>
      </w:r>
      <w:r>
        <w:rPr>
          <w:iCs/>
          <w:i/>
        </w:rPr>
        <w:t xml:space="preserve">alimentos, a Mesquita Azul).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Tarde livre.</w:t>
      </w:r>
      <w:r>
        <w:rPr>
          <w:iCs/>
          <w:i/>
        </w:rPr>
        <w:t xml:space="preserve"> </w:t>
      </w:r>
      <w:r>
        <w:rPr>
          <w:iCs/>
          <w:i/>
        </w:rPr>
        <w:t xml:space="preserve">Hospedagem no hotel.</w:t>
      </w:r>
    </w:p>
    <w:p>
      <w:pPr>
        <w:pStyle w:val="BodyText"/>
      </w:pPr>
      <w:r>
        <w:rPr>
          <w:bCs/>
          <w:b/>
          <w:iCs/>
          <w:i/>
        </w:rPr>
        <w:t xml:space="preserve">Opcional:</w:t>
      </w:r>
      <w:r>
        <w:rPr>
          <w:iCs/>
          <w:i/>
        </w:rPr>
        <w:t xml:space="preserve"> </w:t>
      </w:r>
      <w:r>
        <w:rPr>
          <w:iCs/>
          <w:i/>
        </w:rPr>
        <w:t xml:space="preserve">O passeio pela Ópera Nacional de Erevã oferece uma visita</w:t>
      </w:r>
      <w:r>
        <w:rPr>
          <w:iCs/>
          <w:i/>
        </w:rPr>
        <w:t xml:space="preserve"> </w:t>
      </w:r>
      <w:r>
        <w:rPr>
          <w:iCs/>
          <w:i/>
        </w:rPr>
        <w:t xml:space="preserve">exclusiva a um dos ícones culturais mais importantes da Armênia.</w:t>
      </w:r>
      <w:r>
        <w:rPr>
          <w:iCs/>
          <w:i/>
        </w:rPr>
        <w:t xml:space="preserve"> </w:t>
      </w:r>
      <w:r>
        <w:rPr>
          <w:iCs/>
          <w:i/>
        </w:rPr>
        <w:t xml:space="preserve">Acompanhados por um guia especializado, os participantes percorrerão</w:t>
      </w:r>
      <w:r>
        <w:rPr>
          <w:iCs/>
          <w:i/>
        </w:rPr>
        <w:t xml:space="preserve"> </w:t>
      </w:r>
      <w:r>
        <w:rPr>
          <w:iCs/>
          <w:i/>
        </w:rPr>
        <w:t xml:space="preserve">espaços normalmente fechados ao público, como a sala VIP, salões de</w:t>
      </w:r>
      <w:r>
        <w:rPr>
          <w:iCs/>
          <w:i/>
        </w:rPr>
        <w:t xml:space="preserve"> </w:t>
      </w:r>
      <w:r>
        <w:rPr>
          <w:iCs/>
          <w:i/>
        </w:rPr>
        <w:t xml:space="preserve">recepção e camarins. O roteiro inclui também o acesso ao</w:t>
      </w:r>
      <w:r>
        <w:rPr>
          <w:iCs/>
          <w:i/>
        </w:rPr>
        <w:t xml:space="preserve"> </w:t>
      </w:r>
      <w:r>
        <w:rPr>
          <w:iCs/>
          <w:i/>
        </w:rPr>
        <w:t xml:space="preserve">palco principal e às áreas subterrâneas onde são armazenados</w:t>
      </w:r>
      <w:r>
        <w:rPr>
          <w:iCs/>
          <w:i/>
        </w:rPr>
        <w:t xml:space="preserve"> </w:t>
      </w:r>
      <w:r>
        <w:rPr>
          <w:iCs/>
          <w:i/>
        </w:rPr>
        <w:t xml:space="preserve">cenários e adereços, oferecendo uma perspectiva única do</w:t>
      </w:r>
      <w:r>
        <w:rPr>
          <w:iCs/>
          <w:i/>
        </w:rPr>
        <w:t xml:space="preserve"> </w:t>
      </w:r>
      <w:r>
        <w:rPr>
          <w:iCs/>
          <w:i/>
        </w:rPr>
        <w:t xml:space="preserve">funcionamento interno deste emblemático teatro: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23 USD por pessoa</w:t>
      </w:r>
      <w:r>
        <w:rPr>
          <w:bCs/>
          <w:b/>
          <w:iCs/>
          <w:i/>
        </w:rPr>
        <w:t xml:space="preserve"> </w:t>
      </w:r>
      <w:r>
        <w:rPr>
          <w:bCs/>
          <w:b/>
          <w:iCs/>
          <w:i/>
        </w:rPr>
        <w:t xml:space="preserve">(duração de 2 horas)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Dia 3 Erevã / Mosteiro de Harichavank / Cidade de Gyumri</w:t>
      </w:r>
      <w:r>
        <w:rPr>
          <w:u w:val="single"/>
          <w:iCs/>
          <w:i/>
          <w:bCs/>
          <w:b/>
        </w:rPr>
        <w:t xml:space="preserve"> </w:t>
      </w:r>
      <w:r>
        <w:rPr>
          <w:u w:val="single"/>
          <w:iCs/>
          <w:i/>
          <w:bCs/>
          <w:b/>
        </w:rPr>
        <w:t xml:space="preserve">(Alexandrapol)/ Erevã (D/-/-)</w:t>
      </w:r>
    </w:p>
    <w:p>
      <w:pPr>
        <w:pStyle w:val="BodyText"/>
      </w:pPr>
      <w:r>
        <w:rPr>
          <w:iCs/>
          <w:i/>
        </w:rPr>
        <w:t xml:space="preserve">Café da manhã no hotel. Saímos rumo à</w:t>
      </w:r>
      <w:r>
        <w:rPr>
          <w:iCs/>
          <w:i/>
        </w:rPr>
        <w:t xml:space="preserve"> </w:t>
      </w:r>
      <w:r>
        <w:rPr>
          <w:highlight w:val="yellow"/>
          <w:iCs/>
          <w:i/>
        </w:rPr>
        <w:t xml:space="preserve">segunda maior cidade da</w:t>
      </w:r>
      <w:r>
        <w:rPr>
          <w:highlight w:val="yellow"/>
          <w:iCs/>
          <w:i/>
        </w:rPr>
        <w:t xml:space="preserve"> </w:t>
      </w:r>
      <w:r>
        <w:rPr>
          <w:highlight w:val="yellow"/>
          <w:iCs/>
          <w:i/>
        </w:rPr>
        <w:t xml:space="preserve">Armênia – Gyumri.</w:t>
      </w:r>
    </w:p>
    <w:p>
      <w:pPr>
        <w:pStyle w:val="BodyText"/>
      </w:pPr>
      <w:r>
        <w:rPr>
          <w:iCs/>
          <w:i/>
        </w:rPr>
        <w:t xml:space="preserve">No caminho, uma breve parada</w:t>
      </w:r>
      <w:r>
        <w:rPr>
          <w:iCs/>
          <w:i/>
        </w:rPr>
        <w:t xml:space="preserve"> </w:t>
      </w:r>
      <w:r>
        <w:rPr>
          <w:highlight w:val="yellow"/>
          <w:iCs/>
          <w:i/>
        </w:rPr>
        <w:t xml:space="preserve">em um dos complexos monásticos mais</w:t>
      </w:r>
      <w:r>
        <w:rPr>
          <w:highlight w:val="yellow"/>
          <w:iCs/>
          <w:i/>
        </w:rPr>
        <w:t xml:space="preserve"> </w:t>
      </w:r>
      <w:r>
        <w:rPr>
          <w:highlight w:val="yellow"/>
          <w:iCs/>
          <w:i/>
        </w:rPr>
        <w:t xml:space="preserve">notáveis da Armênia,</w:t>
      </w:r>
      <w:r>
        <w:rPr>
          <w:highlight w:val="yellow"/>
          <w:iCs/>
          <w:i/>
        </w:rPr>
        <w:t xml:space="preserve"> </w:t>
      </w:r>
      <w:r>
        <w:rPr>
          <w:bCs/>
          <w:b/>
          <w:highlight w:val="yellow"/>
          <w:iCs/>
          <w:i/>
        </w:rPr>
        <w:t xml:space="preserve">o complexo de Harichavank</w:t>
      </w:r>
      <w:r>
        <w:rPr>
          <w:highlight w:val="yellow"/>
          <w:iCs/>
          <w:i/>
        </w:rPr>
        <w:t xml:space="preserve">, (séculos VII-XIII),</w:t>
      </w:r>
      <w:r>
        <w:rPr>
          <w:highlight w:val="yellow"/>
          <w:iCs/>
          <w:i/>
        </w:rPr>
        <w:t xml:space="preserve"> </w:t>
      </w:r>
      <w:r>
        <w:rPr>
          <w:highlight w:val="yellow"/>
          <w:iCs/>
          <w:i/>
        </w:rPr>
        <w:t xml:space="preserve">especialmente conhecido por sua escola</w:t>
      </w:r>
      <w:r>
        <w:rPr>
          <w:highlight w:val="yellow"/>
          <w:iCs/>
          <w:i/>
        </w:rPr>
        <w:t xml:space="preserve"> </w:t>
      </w:r>
      <w:r>
        <w:rPr>
          <w:highlight w:val="yellow"/>
          <w:iCs/>
          <w:i/>
        </w:rPr>
        <w:t xml:space="preserve">e</w:t>
      </w:r>
      <w:r>
        <w:rPr>
          <w:highlight w:val="yellow"/>
          <w:iCs/>
          <w:i/>
        </w:rPr>
        <w:t xml:space="preserve"> </w:t>
      </w:r>
      <w:hyperlink r:id="rId23">
        <w:r>
          <w:rPr>
            <w:rStyle w:val="Hyperlink"/>
            <w:highlight w:val="yellow"/>
            <w:iCs/>
            <w:i/>
          </w:rPr>
          <w:t xml:space="preserve">scriptorium</w:t>
        </w:r>
      </w:hyperlink>
      <w:r>
        <w:rPr>
          <w:iCs/>
          <w:i/>
        </w:rPr>
        <w:t xml:space="preserve">.</w:t>
      </w:r>
      <w:r>
        <w:rPr>
          <w:iCs/>
          <w:i/>
        </w:rPr>
        <w:t xml:space="preserve"> </w:t>
      </w:r>
      <w:r>
        <w:rPr>
          <w:iCs/>
          <w:i/>
        </w:rPr>
        <w:t xml:space="preserve">Chegada a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Gyumri.</w:t>
      </w:r>
    </w:p>
    <w:p>
      <w:pPr>
        <w:pStyle w:val="BodyText"/>
      </w:pPr>
      <w:r>
        <w:rPr>
          <w:iCs/>
          <w:i/>
        </w:rPr>
        <w:t xml:space="preserve">É a segunda maior cidade do país e é considerada um dos</w:t>
      </w:r>
      <w:r>
        <w:rPr>
          <w:iCs/>
          <w:i/>
        </w:rPr>
        <w:t xml:space="preserve"> </w:t>
      </w:r>
      <w:r>
        <w:rPr>
          <w:iCs/>
          <w:i/>
        </w:rPr>
        <w:t xml:space="preserve">centros culturais da Armênia. Gyumri é uma cidade histórica; durante</w:t>
      </w:r>
      <w:r>
        <w:rPr>
          <w:iCs/>
          <w:i/>
        </w:rPr>
        <w:t xml:space="preserve"> </w:t>
      </w:r>
      <w:r>
        <w:rPr>
          <w:iCs/>
          <w:i/>
        </w:rPr>
        <w:t xml:space="preserve">o período dos czares russos foi Alexandropol e, durante o período</w:t>
      </w:r>
      <w:r>
        <w:rPr>
          <w:iCs/>
          <w:i/>
        </w:rPr>
        <w:t xml:space="preserve"> </w:t>
      </w:r>
      <w:r>
        <w:rPr>
          <w:iCs/>
          <w:i/>
        </w:rPr>
        <w:t xml:space="preserve">soviético, Leninakan.</w:t>
      </w:r>
    </w:p>
    <w:p>
      <w:pPr>
        <w:pStyle w:val="BodyText"/>
      </w:pPr>
      <w:r>
        <w:rPr>
          <w:iCs/>
          <w:i/>
          <w:bCs/>
          <w:b/>
        </w:rPr>
        <w:t xml:space="preserve">Locais a visitar:</w:t>
      </w:r>
    </w:p>
    <w:p>
      <w:pPr>
        <w:pStyle w:val="BodyText"/>
      </w:pPr>
      <w:r>
        <w:rPr>
          <w:iCs/>
          <w:i/>
        </w:rPr>
        <w:t xml:space="preserve">Uma excursão pela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Fortaleza Negra</w:t>
      </w:r>
      <w:r>
        <w:rPr>
          <w:iCs/>
          <w:i/>
        </w:rPr>
        <w:t xml:space="preserve">, uma edificação antiga</w:t>
      </w:r>
      <w:r>
        <w:rPr>
          <w:iCs/>
          <w:i/>
        </w:rPr>
        <w:t xml:space="preserve"> </w:t>
      </w:r>
      <w:r>
        <w:rPr>
          <w:iCs/>
          <w:i/>
        </w:rPr>
        <w:t xml:space="preserve">usada como fortaleza do exército do Império Russo. Construída entre os</w:t>
      </w:r>
      <w:r>
        <w:rPr>
          <w:iCs/>
          <w:i/>
        </w:rPr>
        <w:t xml:space="preserve"> </w:t>
      </w:r>
      <w:r>
        <w:rPr>
          <w:iCs/>
          <w:i/>
        </w:rPr>
        <w:t xml:space="preserve">anos de 1828 e 1829, foi decisiva na guerra entre russos e turcos</w:t>
      </w:r>
      <w:r>
        <w:rPr>
          <w:iCs/>
          <w:i/>
        </w:rPr>
        <w:t xml:space="preserve"> </w:t>
      </w:r>
      <w:r>
        <w:rPr>
          <w:iCs/>
          <w:i/>
        </w:rPr>
        <w:t xml:space="preserve">durante esse período; hoje, essa impressionante fortaleza é considerada</w:t>
      </w:r>
      <w:r>
        <w:rPr>
          <w:iCs/>
          <w:i/>
        </w:rPr>
        <w:t xml:space="preserve"> </w:t>
      </w:r>
      <w:r>
        <w:rPr>
          <w:iCs/>
          <w:i/>
        </w:rPr>
        <w:t xml:space="preserve">patrimônio cultural da Armênia.</w:t>
      </w:r>
    </w:p>
    <w:p>
      <w:pPr>
        <w:pStyle w:val="BodyText"/>
      </w:pPr>
      <w:r>
        <w:rPr>
          <w:bCs/>
          <w:b/>
          <w:iCs/>
          <w:i/>
        </w:rPr>
        <w:t xml:space="preserve">A Praça de Vardanants</w:t>
      </w:r>
      <w:r>
        <w:rPr>
          <w:iCs/>
          <w:i/>
        </w:rPr>
        <w:t xml:space="preserve">, onde está localizada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a Catedral da Santa</w:t>
      </w:r>
      <w:r>
        <w:rPr>
          <w:bCs/>
          <w:b/>
          <w:iCs/>
          <w:i/>
        </w:rPr>
        <w:t xml:space="preserve"> </w:t>
      </w:r>
      <w:r>
        <w:rPr>
          <w:bCs/>
          <w:b/>
          <w:iCs/>
          <w:i/>
        </w:rPr>
        <w:t xml:space="preserve">Mãe de Deus</w:t>
      </w:r>
      <w:r>
        <w:rPr>
          <w:iCs/>
          <w:i/>
        </w:rPr>
        <w:t xml:space="preserve">, também conhecida como Nossa Senhora das Sete</w:t>
      </w:r>
      <w:r>
        <w:rPr>
          <w:iCs/>
          <w:i/>
        </w:rPr>
        <w:t xml:space="preserve"> </w:t>
      </w:r>
      <w:r>
        <w:rPr>
          <w:iCs/>
          <w:i/>
        </w:rPr>
        <w:t xml:space="preserve">Chagas. Diferentemente de outras igrejas armênias, o altar da Santa</w:t>
      </w:r>
      <w:r>
        <w:rPr>
          <w:iCs/>
          <w:i/>
        </w:rPr>
        <w:t xml:space="preserve"> </w:t>
      </w:r>
      <w:r>
        <w:rPr>
          <w:iCs/>
          <w:i/>
        </w:rPr>
        <w:t xml:space="preserve">Mãe de Deus é único por sua decoração multi-icônica e foi a única</w:t>
      </w:r>
      <w:r>
        <w:rPr>
          <w:iCs/>
          <w:i/>
        </w:rPr>
        <w:t xml:space="preserve"> </w:t>
      </w:r>
      <w:r>
        <w:rPr>
          <w:iCs/>
          <w:i/>
        </w:rPr>
        <w:t xml:space="preserve">igreja, além da Catedral de Echmiadzin, que permaneceu ativa</w:t>
      </w:r>
      <w:r>
        <w:rPr>
          <w:iCs/>
          <w:i/>
        </w:rPr>
        <w:t xml:space="preserve"> </w:t>
      </w:r>
      <w:r>
        <w:rPr>
          <w:iCs/>
          <w:i/>
        </w:rPr>
        <w:t xml:space="preserve">durante os anos soviéticos.</w:t>
      </w:r>
    </w:p>
    <w:p>
      <w:pPr>
        <w:pStyle w:val="BodyText"/>
      </w:pPr>
      <w:r>
        <w:rPr>
          <w:iCs/>
          <w:i/>
        </w:rPr>
        <w:t xml:space="preserve">Retorno a Erevã. Jantar por conta própria. Pernoite em Erevã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Dia 4 Erevã / Kuba Mere Diwan – Templo Ezidi / Echmiadzin / Templo de</w:t>
      </w:r>
      <w:r>
        <w:rPr>
          <w:u w:val="single"/>
          <w:iCs/>
          <w:i/>
          <w:bCs/>
          <w:b/>
        </w:rPr>
        <w:t xml:space="preserve"> </w:t>
      </w:r>
      <w:r>
        <w:rPr>
          <w:u w:val="single"/>
          <w:iCs/>
          <w:i/>
          <w:bCs/>
          <w:b/>
        </w:rPr>
        <w:t xml:space="preserve">Zvartnots (D/-/-)</w:t>
      </w:r>
    </w:p>
    <w:p>
      <w:pPr>
        <w:pStyle w:val="BodyText"/>
      </w:pPr>
      <w:r>
        <w:rPr>
          <w:iCs/>
          <w:i/>
        </w:rPr>
        <w:t xml:space="preserve">Café da manhã no hotel. Saída rumo a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Kuba Mere Diwan, o maior</w:t>
      </w:r>
      <w:r>
        <w:rPr>
          <w:bCs/>
          <w:b/>
          <w:iCs/>
          <w:i/>
        </w:rPr>
        <w:t xml:space="preserve"> </w:t>
      </w:r>
      <w:r>
        <w:rPr>
          <w:bCs/>
          <w:b/>
          <w:iCs/>
          <w:i/>
        </w:rPr>
        <w:t xml:space="preserve">Templo Ezidi do mundo. Echmiadzin</w:t>
      </w:r>
      <w:r>
        <w:rPr>
          <w:iCs/>
          <w:i/>
        </w:rPr>
        <w:t xml:space="preserve">, a catedral (ano 303 d.C., Patrimônio</w:t>
      </w:r>
      <w:r>
        <w:rPr>
          <w:iCs/>
          <w:i/>
        </w:rPr>
        <w:t xml:space="preserve"> </w:t>
      </w:r>
      <w:r>
        <w:rPr>
          <w:iCs/>
          <w:i/>
        </w:rPr>
        <w:t xml:space="preserve">Mundial da UNESCO), primeira Igreja Cristã do mundo. No caminho,</w:t>
      </w:r>
      <w:r>
        <w:rPr>
          <w:iCs/>
          <w:i/>
        </w:rPr>
        <w:t xml:space="preserve"> </w:t>
      </w:r>
      <w:r>
        <w:rPr>
          <w:iCs/>
          <w:i/>
        </w:rPr>
        <w:t xml:space="preserve">visitaremos o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Templo de Zvartnots</w:t>
      </w:r>
      <w:r>
        <w:rPr>
          <w:iCs/>
          <w:i/>
        </w:rPr>
        <w:t xml:space="preserve"> </w:t>
      </w:r>
      <w:r>
        <w:rPr>
          <w:iCs/>
          <w:i/>
        </w:rPr>
        <w:t xml:space="preserve">(século VII, Patrimônio Mundial da</w:t>
      </w:r>
      <w:r>
        <w:rPr>
          <w:iCs/>
          <w:i/>
        </w:rPr>
        <w:t xml:space="preserve"> </w:t>
      </w:r>
      <w:r>
        <w:rPr>
          <w:iCs/>
          <w:i/>
        </w:rPr>
        <w:t xml:space="preserve">UNESCO). Retorno a Erevã. Vernissage. Hospedagem no hotel.</w:t>
      </w:r>
    </w:p>
    <w:p>
      <w:pPr>
        <w:pStyle w:val="BodyText"/>
      </w:pPr>
      <w:r>
        <w:rPr>
          <w:u w:val="single"/>
          <w:bCs/>
          <w:b/>
          <w:iCs/>
          <w:i/>
        </w:rPr>
        <w:t xml:space="preserve">Opcional:</w:t>
      </w:r>
      <w:r>
        <w:rPr>
          <w:iCs/>
          <w:i/>
        </w:rPr>
        <w:t xml:space="preserve"> </w:t>
      </w:r>
      <w:r>
        <w:rPr>
          <w:iCs/>
          <w:i/>
        </w:rPr>
        <w:t xml:space="preserve">Fábrica de conhaque ARARAT ou NOY (excursão +</w:t>
      </w:r>
      <w:r>
        <w:rPr>
          <w:iCs/>
          <w:i/>
        </w:rPr>
        <w:t xml:space="preserve"> </w:t>
      </w:r>
      <w:r>
        <w:rPr>
          <w:iCs/>
          <w:i/>
        </w:rPr>
        <w:t xml:space="preserve">degustação de diferentes tipos) – 18 USD por pessoa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Dia 5 Erevã / Geghard / Garni / Erevã (D/-/-)</w:t>
      </w:r>
    </w:p>
    <w:p>
      <w:pPr>
        <w:pStyle w:val="BodyText"/>
      </w:pPr>
      <w:r>
        <w:rPr>
          <w:iCs/>
          <w:i/>
        </w:rPr>
        <w:t xml:space="preserve">Café da manhã no hotel. Visitaremos o templo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pagão de Garni</w:t>
      </w:r>
      <w:r>
        <w:rPr>
          <w:iCs/>
          <w:i/>
        </w:rPr>
        <w:t xml:space="preserve"> </w:t>
      </w:r>
      <w:r>
        <w:rPr>
          <w:iCs/>
          <w:i/>
        </w:rPr>
        <w:t xml:space="preserve">(século</w:t>
      </w:r>
      <w:r>
        <w:rPr>
          <w:iCs/>
          <w:i/>
        </w:rPr>
        <w:t xml:space="preserve"> </w:t>
      </w:r>
      <w:r>
        <w:rPr>
          <w:iCs/>
          <w:i/>
        </w:rPr>
        <w:t xml:space="preserve">III a.C., Patrimônio Mundial da UNESCO), onde se destacam seus banhos</w:t>
      </w:r>
      <w:r>
        <w:rPr>
          <w:iCs/>
          <w:i/>
        </w:rPr>
        <w:t xml:space="preserve"> </w:t>
      </w:r>
      <w:r>
        <w:rPr>
          <w:iCs/>
          <w:i/>
        </w:rPr>
        <w:t xml:space="preserve">romanos por seus mosaicos. Visita ao Templo de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Geghard</w:t>
      </w:r>
      <w:r>
        <w:rPr>
          <w:iCs/>
          <w:i/>
        </w:rPr>
        <w:t xml:space="preserve"> </w:t>
      </w:r>
      <w:r>
        <w:rPr>
          <w:iCs/>
          <w:i/>
        </w:rPr>
        <w:t xml:space="preserve">(século VII,</w:t>
      </w:r>
      <w:r>
        <w:rPr>
          <w:iCs/>
          <w:i/>
        </w:rPr>
        <w:t xml:space="preserve"> </w:t>
      </w:r>
      <w:r>
        <w:rPr>
          <w:iCs/>
          <w:i/>
        </w:rPr>
        <w:t xml:space="preserve">Patrimônio Mundial da UNESCO), parcialmente escavado na</w:t>
      </w:r>
      <w:r>
        <w:rPr>
          <w:iCs/>
          <w:i/>
        </w:rPr>
        <w:t xml:space="preserve"> </w:t>
      </w:r>
      <w:r>
        <w:rPr>
          <w:iCs/>
          <w:i/>
        </w:rPr>
        <w:t xml:space="preserve">rocha. Visita ao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Matenadaran</w:t>
      </w:r>
      <w:r>
        <w:rPr>
          <w:iCs/>
          <w:i/>
        </w:rPr>
        <w:t xml:space="preserve"> </w:t>
      </w:r>
      <w:r>
        <w:rPr>
          <w:iCs/>
          <w:i/>
        </w:rPr>
        <w:t xml:space="preserve">(Museu de Manuscritos Antigos), que</w:t>
      </w:r>
      <w:r>
        <w:rPr>
          <w:iCs/>
          <w:i/>
        </w:rPr>
        <w:t xml:space="preserve"> </w:t>
      </w:r>
      <w:r>
        <w:rPr>
          <w:iCs/>
          <w:i/>
        </w:rPr>
        <w:t xml:space="preserve">reúne 14.000 manuscritos antigos. Tempo livre. Hospedagem no</w:t>
      </w:r>
      <w:r>
        <w:rPr>
          <w:iCs/>
          <w:i/>
        </w:rPr>
        <w:t xml:space="preserve"> </w:t>
      </w:r>
      <w:r>
        <w:rPr>
          <w:iCs/>
          <w:i/>
        </w:rPr>
        <w:t xml:space="preserve">hotel selecionado em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Erevã.</w:t>
      </w:r>
    </w:p>
    <w:p>
      <w:pPr>
        <w:pStyle w:val="BodyText"/>
      </w:pPr>
      <w:r>
        <w:rPr>
          <w:bCs/>
          <w:b/>
          <w:iCs/>
          <w:i/>
        </w:rPr>
        <w:t xml:space="preserve">Opcional:</w:t>
      </w:r>
      <w:r>
        <w:rPr>
          <w:iCs/>
          <w:i/>
        </w:rPr>
        <w:t xml:space="preserve"> </w:t>
      </w:r>
      <w:r>
        <w:rPr>
          <w:iCs/>
          <w:i/>
        </w:rPr>
        <w:t xml:space="preserve">Visitaremos o Mosteiro de Khor Virap, com vista para o</w:t>
      </w:r>
      <w:r>
        <w:rPr>
          <w:iCs/>
          <w:i/>
        </w:rPr>
        <w:t xml:space="preserve"> </w:t>
      </w:r>
      <w:r>
        <w:rPr>
          <w:iCs/>
          <w:i/>
        </w:rPr>
        <w:t xml:space="preserve">bíblico Monte Ararat:</w:t>
      </w:r>
    </w:p>
    <w:p>
      <w:pPr>
        <w:pStyle w:val="BodyText"/>
      </w:pPr>
      <w:r>
        <w:rPr>
          <w:iCs/>
          <w:i/>
        </w:rPr>
        <w:t xml:space="preserve">52 USD por pessoa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Dia 6 Erevã – Dia livre (D/-/-)</w:t>
      </w:r>
    </w:p>
    <w:p>
      <w:pPr>
        <w:pStyle w:val="BodyText"/>
      </w:pPr>
      <w:r>
        <w:rPr>
          <w:iCs/>
          <w:i/>
          <w:bCs/>
          <w:b/>
        </w:rPr>
        <w:t xml:space="preserve">Café da manhã no hotel.</w:t>
      </w:r>
    </w:p>
    <w:p>
      <w:pPr>
        <w:pStyle w:val="BodyText"/>
      </w:pPr>
      <w:r>
        <w:rPr>
          <w:iCs/>
          <w:i/>
        </w:rPr>
        <w:t xml:space="preserve">Dia livre para explorar a cidade de Erevã por conta própria,</w:t>
      </w:r>
      <w:r>
        <w:rPr>
          <w:iCs/>
          <w:i/>
        </w:rPr>
        <w:t xml:space="preserve"> </w:t>
      </w:r>
      <w:r>
        <w:rPr>
          <w:iCs/>
          <w:i/>
        </w:rPr>
        <w:t xml:space="preserve">descobrindo seus parques, avenidas e terraços, ou para desfrutar de</w:t>
      </w:r>
      <w:r>
        <w:rPr>
          <w:iCs/>
          <w:i/>
        </w:rPr>
        <w:t xml:space="preserve"> </w:t>
      </w:r>
      <w:r>
        <w:rPr>
          <w:iCs/>
          <w:i/>
        </w:rPr>
        <w:t xml:space="preserve">alguma excursão opcional (consulte-nos sobre as atividades opcionais que</w:t>
      </w:r>
      <w:r>
        <w:rPr>
          <w:iCs/>
          <w:i/>
        </w:rPr>
        <w:t xml:space="preserve"> </w:t>
      </w:r>
      <w:r>
        <w:rPr>
          <w:iCs/>
          <w:i/>
        </w:rPr>
        <w:t xml:space="preserve">podemos oferecer).</w:t>
      </w:r>
    </w:p>
    <w:p>
      <w:pPr>
        <w:pStyle w:val="BodyText"/>
      </w:pPr>
      <w:r>
        <w:rPr>
          <w:iCs/>
          <w:i/>
        </w:rPr>
        <w:t xml:space="preserve">Hospedagem no hotel.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Dia 7 Erevã (D/-/-)</w:t>
      </w:r>
    </w:p>
    <w:p>
      <w:pPr>
        <w:pStyle w:val="BodyText"/>
      </w:pPr>
      <w:r>
        <w:rPr>
          <w:iCs/>
          <w:i/>
        </w:rPr>
        <w:t xml:space="preserve">Traslado ao aeroporto para embarque no voo de retorno.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PREÇOS baseados em quarto DUPLO/TWIN STANDARD para</w:t>
      </w:r>
      <w:r>
        <w:rPr>
          <w:u w:val="single"/>
          <w:iCs/>
          <w:i/>
          <w:bCs/>
          <w:b/>
        </w:rPr>
        <w:t xml:space="preserve"> </w:t>
      </w:r>
      <w:r>
        <w:rPr>
          <w:u w:val="single"/>
          <w:iCs/>
          <w:i/>
          <w:bCs/>
          <w:b/>
        </w:rPr>
        <w:t xml:space="preserve">2026:</w:t>
      </w:r>
    </w:p>
    <w:p>
      <w:pPr>
        <w:pStyle w:val="BodyText"/>
      </w:pPr>
      <w:r>
        <w:rPr>
          <w:iCs/>
          <w:i/>
          <w:bCs/>
          <w:b/>
        </w:rPr>
        <w:t xml:space="preserve">Hotelaria prevista e serviços adicionais: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MÍNIMO PAX: 2 PAX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SUPLEMENTO HOTÉIS CAT. ECONÔMICA (P/P)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Hotel em Erevã: Shirak Hotel 3* ou similar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Quarto duplo PP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740 US$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Suplemento IND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 US$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MÍNIMO PAX: 2 PAX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SUPLEMENTO HOTÉIS CAT. STANDARD (P/P)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Hotel em Erevã: BW Congress 4* ou similar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Quarto duplo PP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+ 215 US$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Suplemento IND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+ 70 US$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MÍNIMO PAX: 2 PAX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SUPLEMENTO HOTÉIS CAT. SUPERIOR (P/P)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Hotel em Erevã: Hilton by Double Tree 4*+ ou similar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Quarto duplo PP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+ 540 US$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Suplemento IND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+ 140 US$</w:t>
            </w:r>
          </w:p>
        </w:tc>
      </w:tr>
    </w:tbl>
    <w:p/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MÍNIMO PAX: 2 PAX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SUPLEMENTO HOTÉIS CAT. SUPERIOR (P/P)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Hotel em Erevã: Golden Palace 5*, 4*+ Courtyard by Marriott, Radisson Blue 5*, 5* Hotel Nacional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Quarto duplo PP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+ 540 US$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Suplemento IND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+ 140 US$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MÍNIMO PAX: 2 PAX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SUPLEMENTO HOTÉIS CAT. SUPERIOR (P/P)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Hotel em Erevã: The Alexander Luxury Collection 5*+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Quarto duplo PP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+ 1200 US$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Suplemento IND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+ 990 US$</w:t>
            </w:r>
          </w:p>
        </w:tc>
      </w:tr>
    </w:tbl>
    <w:p>
      <w:pPr>
        <w:numPr>
          <w:ilvl w:val="0"/>
          <w:numId w:val="1001"/>
        </w:numPr>
      </w:pPr>
      <w:r>
        <w:rPr>
          <w:iCs/>
          <w:i/>
          <w:bCs/>
          <w:b/>
        </w:rPr>
        <w:t xml:space="preserve">Suplemento para o serviço de guia (traslado aeroporto) = 80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US$ por serviço</w:t>
      </w:r>
    </w:p>
    <w:p>
      <w:pPr>
        <w:numPr>
          <w:ilvl w:val="0"/>
          <w:numId w:val="1001"/>
        </w:numPr>
      </w:pPr>
      <w:r>
        <w:rPr>
          <w:iCs/>
          <w:i/>
          <w:bCs/>
          <w:b/>
        </w:rPr>
        <w:t xml:space="preserve">Suplemento de 4 almoços (do dia 2 ao 5) 90 US$ por pessoa (em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restaurantes)</w:t>
      </w:r>
    </w:p>
    <w:p>
      <w:pPr>
        <w:numPr>
          <w:ilvl w:val="0"/>
          <w:numId w:val="1001"/>
        </w:numPr>
      </w:pPr>
      <w:r>
        <w:rPr>
          <w:iCs/>
          <w:i/>
          <w:bCs/>
          <w:b/>
        </w:rPr>
        <w:t xml:space="preserve">Suplemento de 5 jantares (do dia 2 ao 6) 140 US$ por pessoa (em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restaurantes)</w:t>
      </w:r>
    </w:p>
    <w:p>
      <w:pPr>
        <w:pStyle w:val="FirstParagraph"/>
      </w:pPr>
      <w:r>
        <w:rPr>
          <w:iCs/>
          <w:i/>
          <w:bCs/>
          <w:b/>
        </w:rPr>
        <w:t xml:space="preserve">O preço do pacote inclui:</w:t>
      </w:r>
    </w:p>
    <w:p>
      <w:pPr>
        <w:numPr>
          <w:ilvl w:val="0"/>
          <w:numId w:val="1002"/>
        </w:numPr>
      </w:pPr>
      <w:r>
        <w:rPr>
          <w:iCs/>
          <w:i/>
        </w:rPr>
        <w:t xml:space="preserve">Transporte do Aeroporto Internacional na Armênia até o hotel e</w:t>
      </w:r>
      <w:r>
        <w:rPr>
          <w:iCs/>
          <w:i/>
        </w:rPr>
        <w:t xml:space="preserve"> </w:t>
      </w:r>
      <w:r>
        <w:rPr>
          <w:iCs/>
          <w:i/>
        </w:rPr>
        <w:t xml:space="preserve">vice-versa, com motorista de língua inglesa</w:t>
      </w:r>
    </w:p>
    <w:p>
      <w:pPr>
        <w:numPr>
          <w:ilvl w:val="0"/>
          <w:numId w:val="1002"/>
        </w:numPr>
      </w:pPr>
      <w:r>
        <w:rPr>
          <w:iCs/>
          <w:i/>
        </w:rPr>
        <w:t xml:space="preserve">Transporte durante todo o programa (tipo de veículo com base no número</w:t>
      </w:r>
      <w:r>
        <w:rPr>
          <w:iCs/>
          <w:i/>
        </w:rPr>
        <w:t xml:space="preserve"> </w:t>
      </w:r>
      <w:r>
        <w:rPr>
          <w:iCs/>
          <w:i/>
        </w:rPr>
        <w:t xml:space="preserve">de passageiros: 2 pax – sedan / 4 pax – minivan / 6-8 pax -</w:t>
      </w:r>
      <w:r>
        <w:rPr>
          <w:iCs/>
          <w:i/>
        </w:rPr>
        <w:t xml:space="preserve"> </w:t>
      </w:r>
      <w:r>
        <w:rPr>
          <w:iCs/>
          <w:i/>
        </w:rPr>
        <w:t xml:space="preserve">Sprinter) / 12 pax – Sprinter de 20 lugares ou ônibus de 30</w:t>
      </w:r>
      <w:r>
        <w:rPr>
          <w:iCs/>
          <w:i/>
        </w:rPr>
        <w:t xml:space="preserve"> </w:t>
      </w:r>
      <w:r>
        <w:rPr>
          <w:iCs/>
          <w:i/>
        </w:rPr>
        <w:t xml:space="preserve">lugares ou mais</w:t>
      </w:r>
    </w:p>
    <w:p>
      <w:pPr>
        <w:numPr>
          <w:ilvl w:val="0"/>
          <w:numId w:val="1002"/>
        </w:numPr>
      </w:pPr>
      <w:r>
        <w:rPr>
          <w:iCs/>
          <w:i/>
        </w:rPr>
        <w:t xml:space="preserve">Hospedagem de 6 noites durante todo o programa em Erevã</w:t>
      </w:r>
    </w:p>
    <w:p>
      <w:pPr>
        <w:numPr>
          <w:ilvl w:val="0"/>
          <w:numId w:val="1002"/>
        </w:numPr>
      </w:pPr>
      <w:r>
        <w:rPr>
          <w:iCs/>
          <w:i/>
        </w:rPr>
        <w:t xml:space="preserve">Guia licenciado de língua espanhola nos dias 2/3/4/5</w:t>
      </w:r>
    </w:p>
    <w:p>
      <w:pPr>
        <w:numPr>
          <w:ilvl w:val="0"/>
          <w:numId w:val="1002"/>
        </w:numPr>
      </w:pPr>
      <w:r>
        <w:rPr>
          <w:iCs/>
          <w:i/>
        </w:rPr>
        <w:t xml:space="preserve">Regime de alimentação – somente café da manhã todos os dias</w:t>
      </w:r>
    </w:p>
    <w:p>
      <w:pPr>
        <w:numPr>
          <w:ilvl w:val="0"/>
          <w:numId w:val="1002"/>
        </w:numPr>
      </w:pPr>
      <w:r>
        <w:rPr>
          <w:iCs/>
          <w:i/>
        </w:rPr>
        <w:t xml:space="preserve">Água mineral durante as refeições</w:t>
      </w:r>
    </w:p>
    <w:p>
      <w:pPr>
        <w:numPr>
          <w:ilvl w:val="0"/>
          <w:numId w:val="1002"/>
        </w:numPr>
      </w:pPr>
      <w:r>
        <w:rPr>
          <w:iCs/>
          <w:i/>
        </w:rPr>
        <w:t xml:space="preserve">Todas as entradas nos pontos notáveis, museus e galerias.</w:t>
      </w:r>
    </w:p>
    <w:p>
      <w:pPr>
        <w:numPr>
          <w:ilvl w:val="0"/>
          <w:numId w:val="1002"/>
        </w:numPr>
      </w:pPr>
      <w:r>
        <w:rPr>
          <w:iCs/>
          <w:i/>
        </w:rPr>
        <w:t xml:space="preserve">Água mineral todos os dias durante o transporte por parte da</w:t>
      </w:r>
      <w:r>
        <w:rPr>
          <w:iCs/>
          <w:i/>
        </w:rPr>
        <w:t xml:space="preserve"> </w:t>
      </w:r>
      <w:r>
        <w:rPr>
          <w:iCs/>
          <w:i/>
        </w:rPr>
        <w:t xml:space="preserve">Nueva Vista, assim como mapas da Armênia e da capital</w:t>
      </w:r>
    </w:p>
    <w:p>
      <w:pPr>
        <w:pStyle w:val="FirstParagraph"/>
      </w:pPr>
      <w:r>
        <w:rPr>
          <w:iCs/>
          <w:i/>
          <w:bCs/>
          <w:b/>
        </w:rPr>
        <w:t xml:space="preserve">O preço do pacote não inclui:</w:t>
      </w:r>
    </w:p>
    <w:p>
      <w:pPr>
        <w:numPr>
          <w:ilvl w:val="0"/>
          <w:numId w:val="1003"/>
        </w:numPr>
      </w:pPr>
      <w:r>
        <w:rPr>
          <w:iCs/>
          <w:i/>
        </w:rPr>
        <w:t xml:space="preserve">Voo de ida e volta à Armênia</w:t>
      </w:r>
    </w:p>
    <w:p>
      <w:pPr>
        <w:numPr>
          <w:ilvl w:val="0"/>
          <w:numId w:val="1003"/>
        </w:numPr>
      </w:pPr>
      <w:r>
        <w:rPr>
          <w:iCs/>
          <w:i/>
        </w:rPr>
        <w:t xml:space="preserve">Pagamento do visto (8 USD) – para cidadãos da UE, Brasil,</w:t>
      </w:r>
      <w:r>
        <w:rPr>
          <w:iCs/>
          <w:i/>
        </w:rPr>
        <w:t xml:space="preserve"> </w:t>
      </w:r>
      <w:r>
        <w:rPr>
          <w:iCs/>
          <w:i/>
        </w:rPr>
        <w:t xml:space="preserve">Argentina e Uruguai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é gratuito</w:t>
      </w:r>
    </w:p>
    <w:p>
      <w:pPr>
        <w:numPr>
          <w:ilvl w:val="0"/>
          <w:numId w:val="1003"/>
        </w:numPr>
      </w:pPr>
      <w:r>
        <w:rPr>
          <w:iCs/>
          <w:i/>
        </w:rPr>
        <w:t xml:space="preserve">Bebidas alcoólicas durante as refeições (o preço de 1 garrafa de</w:t>
      </w:r>
      <w:r>
        <w:rPr>
          <w:iCs/>
          <w:i/>
        </w:rPr>
        <w:t xml:space="preserve"> </w:t>
      </w:r>
      <w:r>
        <w:rPr>
          <w:iCs/>
          <w:i/>
        </w:rPr>
        <w:t xml:space="preserve">bom vinho armênio no restaurante é de 12-15 USD).</w:t>
      </w:r>
    </w:p>
    <w:p>
      <w:pPr>
        <w:numPr>
          <w:ilvl w:val="0"/>
          <w:numId w:val="1003"/>
        </w:numPr>
      </w:pPr>
      <w:r>
        <w:rPr>
          <w:iCs/>
          <w:i/>
        </w:rPr>
        <w:t xml:space="preserve">Pagamentos a carregadores nos hotéis</w:t>
      </w:r>
    </w:p>
    <w:p>
      <w:pPr>
        <w:numPr>
          <w:ilvl w:val="0"/>
          <w:numId w:val="1003"/>
        </w:numPr>
      </w:pPr>
      <w:r>
        <w:rPr>
          <w:iCs/>
          <w:i/>
        </w:rPr>
        <w:t xml:space="preserve">Gastos pessoais e frigobar do hotel.</w:t>
      </w:r>
    </w:p>
    <w:p>
      <w:pPr>
        <w:pStyle w:val="BlockText"/>
      </w:pPr>
      <w:r>
        <w:rPr>
          <w:iCs/>
          <w:i/>
          <w:bCs/>
          <w:b/>
        </w:rPr>
        <w:t xml:space="preserve">Os preços por noite extra nos hotéis mencionados acima são:</w:t>
      </w:r>
    </w:p>
    <w:p>
      <w:pPr>
        <w:pStyle w:val="FirstParagraph"/>
      </w:pPr>
      <w:r>
        <w:rPr>
          <w:iCs/>
          <w:i/>
          <w:bCs/>
          <w:b/>
        </w:rPr>
        <w:t xml:space="preserve">Opção 1:</w:t>
      </w:r>
      <w:r>
        <w:rPr>
          <w:iCs/>
          <w:i/>
          <w:bCs/>
          <w:b/>
        </w:rPr>
        <w:t xml:space="preserve"> </w:t>
      </w:r>
      <w:r>
        <w:rPr>
          <w:highlight w:val="yellow"/>
          <w:iCs/>
          <w:i/>
          <w:bCs/>
          <w:b/>
        </w:rPr>
        <w:t xml:space="preserve">Hotel Shirak 3* ou similar em Erevã</w:t>
      </w:r>
    </w:p>
    <w:p>
      <w:pPr>
        <w:pStyle w:val="BlockText"/>
      </w:pPr>
      <w:r>
        <w:rPr>
          <w:iCs/>
          <w:i/>
        </w:rPr>
        <w:t xml:space="preserve">Quarto duplo (com café da manhã e VAT) – 80 USD</w:t>
      </w:r>
    </w:p>
    <w:p>
      <w:pPr>
        <w:pStyle w:val="BlockText"/>
      </w:pPr>
      <w:r>
        <w:rPr>
          <w:iCs/>
          <w:i/>
        </w:rPr>
        <w:t xml:space="preserve">Quarto individual (com café da manhã e VAT) – 70 USD</w:t>
      </w:r>
    </w:p>
    <w:p>
      <w:pPr>
        <w:pStyle w:val="FirstParagraph"/>
      </w:pPr>
      <w:r>
        <w:rPr>
          <w:iCs/>
          <w:i/>
          <w:bCs/>
          <w:b/>
        </w:rPr>
        <w:t xml:space="preserve">Opção 2:</w:t>
      </w:r>
      <w:r>
        <w:rPr>
          <w:iCs/>
          <w:i/>
          <w:bCs/>
          <w:b/>
        </w:rPr>
        <w:t xml:space="preserve"> </w:t>
      </w:r>
      <w:r>
        <w:rPr>
          <w:highlight w:val="yellow"/>
          <w:iCs/>
          <w:i/>
          <w:bCs/>
          <w:b/>
        </w:rPr>
        <w:t xml:space="preserve">Hotel BW Congress 4* ou similar em Erevã</w:t>
      </w:r>
    </w:p>
    <w:p>
      <w:pPr>
        <w:pStyle w:val="BlockText"/>
      </w:pPr>
      <w:r>
        <w:rPr>
          <w:iCs/>
          <w:i/>
        </w:rPr>
        <w:t xml:space="preserve">Quarto duplo (com café da manhã e VAT) – 132 USD</w:t>
      </w:r>
    </w:p>
    <w:p>
      <w:pPr>
        <w:pStyle w:val="BlockText"/>
      </w:pPr>
      <w:r>
        <w:rPr>
          <w:iCs/>
          <w:i/>
        </w:rPr>
        <w:t xml:space="preserve">Quarto individual (com café da manhã e VAT) – 104 USD</w:t>
      </w:r>
    </w:p>
    <w:p>
      <w:pPr>
        <w:pStyle w:val="FirstParagraph"/>
      </w:pPr>
      <w:r>
        <w:rPr>
          <w:u w:val="single"/>
          <w:iCs/>
          <w:i/>
          <w:bCs/>
          <w:b/>
        </w:rPr>
        <w:t xml:space="preserve">Informações importantes: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Grupos reduzidos: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MÍN 15 pax</w:t>
      </w:r>
    </w:p>
    <w:p>
      <w:pPr>
        <w:pStyle w:val="BodyText"/>
      </w:pPr>
      <w:r>
        <w:rPr>
          <w:u w:val="single"/>
          <w:bCs/>
          <w:b/>
          <w:iCs/>
          <w:i/>
        </w:rPr>
        <w:t xml:space="preserve">Quartos triplos:</w:t>
      </w:r>
      <w:r>
        <w:rPr>
          <w:iCs/>
          <w:i/>
        </w:rPr>
        <w:t xml:space="preserve"> </w:t>
      </w:r>
      <w:r>
        <w:rPr>
          <w:iCs/>
          <w:i/>
        </w:rPr>
        <w:t xml:space="preserve">não há desconto para triplos;</w:t>
      </w:r>
      <w:r>
        <w:rPr>
          <w:iCs/>
          <w:i/>
        </w:rPr>
        <w:t xml:space="preserve"> </w:t>
      </w:r>
      <w:r>
        <w:rPr>
          <w:iCs/>
          <w:i/>
        </w:rPr>
        <w:t xml:space="preserve">é o mesmo preço do duplo por pessoa (cama de casal com cama extra ou</w:t>
      </w:r>
      <w:r>
        <w:rPr>
          <w:iCs/>
          <w:i/>
        </w:rPr>
        <w:t xml:space="preserve"> </w:t>
      </w:r>
      <w:r>
        <w:rPr>
          <w:iCs/>
          <w:i/>
        </w:rPr>
        <w:t xml:space="preserve">sofá)</w:t>
      </w:r>
      <w:r>
        <w:t xml:space="preserve">**</w:t>
      </w:r>
    </w:p>
    <w:p>
      <w:pPr>
        <w:pStyle w:val="BodyText"/>
      </w:pPr>
      <w:r>
        <w:rPr>
          <w:iCs/>
          <w:i/>
        </w:rPr>
        <w:t xml:space="preserve">Recomendamos informar em sua programação que os passageiros devem pagar</w:t>
      </w:r>
      <w:r>
        <w:rPr>
          <w:iCs/>
          <w:i/>
        </w:rPr>
        <w:t xml:space="preserve"> </w:t>
      </w:r>
      <w:r>
        <w:rPr>
          <w:iCs/>
          <w:i/>
        </w:rPr>
        <w:t xml:space="preserve">no destino gorjetas para motorista e guia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(40 USD por pessoa).</w:t>
      </w:r>
      <w:r>
        <w:rPr>
          <w:iCs/>
          <w:i/>
        </w:rPr>
        <w:t xml:space="preserve"> </w:t>
      </w:r>
      <w:r>
        <w:rPr>
          <w:iCs/>
          <w:i/>
        </w:rPr>
        <w:t xml:space="preserve">Embora não seja obrigatório, na Armênia já é costume deixar gorjeta</w:t>
      </w:r>
      <w:r>
        <w:rPr>
          <w:iCs/>
          <w:i/>
        </w:rPr>
        <w:t xml:space="preserve"> </w:t>
      </w:r>
      <w:r>
        <w:rPr>
          <w:iCs/>
          <w:i/>
        </w:rPr>
        <w:t xml:space="preserve">para os guias; por isso, agradecemos que avisem seus clientes sobre</w:t>
      </w:r>
      <w:r>
        <w:rPr>
          <w:iCs/>
          <w:i/>
        </w:rPr>
        <w:t xml:space="preserve"> </w:t>
      </w:r>
      <w:r>
        <w:rPr>
          <w:iCs/>
          <w:i/>
        </w:rPr>
        <w:t xml:space="preserve">este ponto.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Condições de pagamento</w:t>
      </w:r>
      <w:r>
        <w:rPr>
          <w:bCs/>
          <w:b/>
        </w:rPr>
        <w:t xml:space="preserve">:</w:t>
      </w:r>
    </w:p>
    <w:p>
      <w:pPr>
        <w:pStyle w:val="BodyText"/>
      </w:pPr>
      <w:r>
        <w:rPr>
          <w:iCs/>
          <w:i/>
        </w:rPr>
        <w:t xml:space="preserve">O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pré-pagamento da reserva</w:t>
      </w:r>
      <w:r>
        <w:rPr>
          <w:iCs/>
          <w:i/>
        </w:rPr>
        <w:t xml:space="preserve"> </w:t>
      </w:r>
      <w:r>
        <w:rPr>
          <w:iCs/>
          <w:i/>
        </w:rPr>
        <w:t xml:space="preserve">deverá ser efetuado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20 dias antes da</w:t>
      </w:r>
      <w:r>
        <w:rPr>
          <w:bCs/>
          <w:b/>
          <w:iCs/>
          <w:i/>
        </w:rPr>
        <w:t xml:space="preserve"> </w:t>
      </w:r>
      <w:r>
        <w:rPr>
          <w:bCs/>
          <w:b/>
          <w:iCs/>
          <w:i/>
        </w:rPr>
        <w:t xml:space="preserve">data de chegada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Condições de Cancelamento</w:t>
      </w:r>
    </w:p>
    <w:p>
      <w:pPr>
        <w:pStyle w:val="BlockText"/>
      </w:pPr>
      <w:r>
        <w:rPr>
          <w:iCs/>
          <w:i/>
        </w:rPr>
        <w:t xml:space="preserve">1)</w:t>
      </w:r>
      <w:r>
        <w:t xml:space="preserve"> </w:t>
      </w:r>
      <w:r>
        <w:rPr>
          <w:iCs/>
          <w:i/>
        </w:rPr>
        <w:t xml:space="preserve">Cancelamento com 15 dias de antecedência em relação à data de chegada,</w:t>
      </w:r>
      <w:r>
        <w:rPr>
          <w:iCs/>
          <w:i/>
        </w:rPr>
        <w:t xml:space="preserve"> </w:t>
      </w:r>
      <w:r>
        <w:rPr>
          <w:iCs/>
          <w:i/>
        </w:rPr>
        <w:t xml:space="preserve">sem penalidade:</w:t>
      </w:r>
    </w:p>
    <w:p>
      <w:pPr>
        <w:pStyle w:val="BlockText"/>
      </w:pPr>
      <w:r>
        <w:rPr>
          <w:iCs/>
          <w:i/>
        </w:rPr>
        <w:t xml:space="preserve">2)</w:t>
      </w:r>
      <w:r>
        <w:t xml:space="preserve"> </w:t>
      </w:r>
      <w:r>
        <w:rPr>
          <w:iCs/>
          <w:i/>
        </w:rPr>
        <w:t xml:space="preserve">Cancelamento com menos de 15 dias de antecedência em relação à data de</w:t>
      </w:r>
      <w:r>
        <w:rPr>
          <w:iCs/>
          <w:i/>
        </w:rPr>
        <w:t xml:space="preserve"> </w:t>
      </w:r>
      <w:r>
        <w:rPr>
          <w:iCs/>
          <w:i/>
        </w:rPr>
        <w:t xml:space="preserve">chegada, 50% de penalidade</w:t>
      </w:r>
    </w:p>
    <w:p>
      <w:pPr>
        <w:pStyle w:val="BlockText"/>
      </w:pPr>
      <w:r>
        <w:rPr>
          <w:iCs/>
          <w:i/>
        </w:rPr>
        <w:t xml:space="preserve">3)</w:t>
      </w:r>
      <w:r>
        <w:t xml:space="preserve"> </w:t>
      </w:r>
      <w:r>
        <w:rPr>
          <w:iCs/>
          <w:i/>
        </w:rPr>
        <w:t xml:space="preserve">Cancelamento com 5 dias antes da data de chegada ou no</w:t>
      </w:r>
      <w:r>
        <w:rPr>
          <w:iCs/>
          <w:i/>
        </w:rPr>
        <w:t xml:space="preserve"> </w:t>
      </w:r>
      <w:r>
        <w:rPr>
          <w:iCs/>
          <w:i/>
        </w:rPr>
        <w:t xml:space="preserve">show, penalidade de 100%</w:t>
      </w:r>
    </w:p>
    <w:p>
      <w:pPr>
        <w:pStyle w:val="FirstParagraph"/>
      </w:pPr>
      <w:r>
        <w:rPr>
          <w:u w:val="single"/>
          <w:iCs/>
          <w:i/>
          <w:bCs/>
          <w:b/>
        </w:rPr>
        <w:t xml:space="preserve">Notas Importantes:</w:t>
      </w:r>
    </w:p>
    <w:p>
      <w:pPr>
        <w:numPr>
          <w:ilvl w:val="0"/>
          <w:numId w:val="1004"/>
        </w:numPr>
      </w:pPr>
      <w:r>
        <w:rPr>
          <w:iCs/>
          <w:i/>
        </w:rPr>
        <w:t xml:space="preserve">Preços válidos para estadias entre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10 de janeiro de 2026 e 19</w:t>
      </w:r>
      <w:r>
        <w:rPr>
          <w:bCs/>
          <w:b/>
          <w:iCs/>
          <w:i/>
        </w:rPr>
        <w:t xml:space="preserve"> </w:t>
      </w:r>
      <w:r>
        <w:rPr>
          <w:bCs/>
          <w:b/>
          <w:iCs/>
          <w:i/>
        </w:rPr>
        <w:t xml:space="preserve">de dezembro de 2026</w:t>
      </w:r>
      <w:r>
        <w:rPr>
          <w:iCs/>
          <w:i/>
        </w:rPr>
        <w:t xml:space="preserve">;</w:t>
      </w:r>
    </w:p>
    <w:p>
      <w:pPr>
        <w:numPr>
          <w:ilvl w:val="0"/>
          <w:numId w:val="1004"/>
        </w:numPr>
      </w:pPr>
      <w:r>
        <w:rPr>
          <w:iCs/>
          <w:i/>
        </w:rPr>
        <w:t xml:space="preserve">Em caso de mudanças drásticas entre a moeda nacional e a estrangeira,</w:t>
      </w:r>
      <w:r>
        <w:rPr>
          <w:iCs/>
          <w:i/>
        </w:rPr>
        <w:t xml:space="preserve"> </w:t>
      </w:r>
      <w:r>
        <w:rPr>
          <w:iCs/>
          <w:i/>
        </w:rPr>
        <w:t xml:space="preserve">reservamo-nos o direito de revisão de preços.</w:t>
      </w:r>
    </w:p>
    <w:p>
      <w:pPr>
        <w:numPr>
          <w:ilvl w:val="0"/>
          <w:numId w:val="1004"/>
        </w:numPr>
      </w:pPr>
      <w:r>
        <w:rPr>
          <w:iCs/>
          <w:i/>
        </w:rPr>
        <w:t xml:space="preserve">A ordem das visitas pode ser modificada de acordo com as condições</w:t>
      </w:r>
      <w:r>
        <w:rPr>
          <w:iCs/>
          <w:i/>
        </w:rPr>
        <w:t xml:space="preserve"> </w:t>
      </w:r>
      <w:r>
        <w:rPr>
          <w:iCs/>
          <w:i/>
        </w:rPr>
        <w:t xml:space="preserve">climáticas, de tempo e a critério do guia</w:t>
      </w:r>
    </w:p>
    <w:p>
      <w:pPr>
        <w:numPr>
          <w:ilvl w:val="0"/>
          <w:numId w:val="1004"/>
        </w:numPr>
      </w:pPr>
      <w:r>
        <w:rPr>
          <w:iCs/>
          <w:i/>
        </w:rPr>
        <w:t xml:space="preserve">A maioria dos museus fica fechada às segundas-feiras, feriados</w:t>
      </w:r>
      <w:r>
        <w:rPr>
          <w:iCs/>
          <w:i/>
        </w:rPr>
        <w:t xml:space="preserve"> </w:t>
      </w:r>
      <w:r>
        <w:rPr>
          <w:iCs/>
          <w:i/>
        </w:rPr>
        <w:t xml:space="preserve">oficiais e locais</w:t>
      </w:r>
    </w:p>
    <w:sectPr>
      <w:headerReference r:id="rId9" w:type="default"/>
      <w:footerReference r:id="rId12" w:type="default"/>
      <w:type w:val="nextPage"/>
      <w:pgSz w:h="15840" w:w="12240"/>
      <w:pgMar w:bottom="1134" w:footer="708" w:gutter="0" w:header="708" w:left="1701" w:right="850" w:top="1134"/>
      <w:pgNumType w:fmt="decimal"/>
      <w:formProt w:val="false"/>
      <w:textDirection w:val="lrTb"/>
      <w:docGrid w:charSpace="0" w:linePitch="36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cc" w:characterSet="windows-1251"/>
    <w:family w:val="roman"/>
    <w:pitch w:val="variable"/>
  </w:font>
  <w:font w:name="Cambria">
    <w:charset w:val="cc" w:characterSet="windows-1251"/>
    <w:family w:val="roman"/>
    <w:pitch w:val="variable"/>
  </w:font>
  <w:font w:name="Wingdings">
    <w:charset w:val="02"/>
    <w:family w:val="auto"/>
    <w:pitch w:val="variable"/>
  </w:font>
  <w:font w:name="Courier New">
    <w:charset w:val="cc" w:characterSet="windows-1251"/>
    <w:family w:val="modern"/>
    <w:pitch w:val="default"/>
  </w:font>
  <w:font w:name="Arial">
    <w:charset w:val="cc" w:characterSet="windows-1251"/>
    <w:family w:val="swiss"/>
    <w:pitch w:val="variable"/>
  </w:font>
  <w:font w:name="Consolas">
    <w:charset w:val="cc" w:characterSet="windows-1251"/>
    <w:family w:val="modern"/>
    <w:pitch w:val="default"/>
  </w:font>
  <w:font w:name="Segoe UI">
    <w:charset w:val="cc" w:characterSet="windows-1251"/>
    <w:family w:val="swiss"/>
    <w:pitch w:val="variable"/>
  </w:font>
  <w:font w:name="Calibri">
    <w:charset w:val="cc" w:characterSet="windows-1251"/>
    <w:family w:val="swiss"/>
    <w:pitch w:val="variable"/>
  </w:font>
  <w:font w:name="Book Antiqua">
    <w:charset w:val="cc" w:characterSet="windows-1251"/>
    <w:family w:val="roman"/>
    <w:pitch w:val="variable"/>
  </w:font>
  <w:font w:name="inherit">
    <w:altName w:val="Times New Roman"/>
    <w:charset w:val="00" w:characterSet="windows-1252"/>
    <w:family w:val="roman"/>
    <w:pitch w:val="default"/>
  </w:font>
  <w:font w:name="Calibri Light">
    <w:charset w:val="cc" w:characterSet="windows-125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hd w:fill="FFFFFF" w:val="clear"/>
      <w:rPr>
        <w:rFonts w:ascii="Cambria" w:hAnsi="Cambria" w:cs="Arial"/>
        <w:i/>
        <w:i/>
        <w:iCs/>
        <w:color w:val="0F243E"/>
        <w:lang w:val="es-AR"/>
      </w:rPr>
    </w:pPr>
    <w:r>
      <w:rPr>
        <w:rFonts w:cs="Arial" w:ascii="Cambria" w:hAnsi="Cambria"/>
        <w:i/>
        <w:iCs/>
        <w:color w:val="0F243E"/>
        <w:lang w:val="es-AR"/>
      </w:rPr>
    </w:r>
  </w:p>
  <w:p>
    <w:pPr>
      <w:pStyle w:val="Normal"/>
      <w:shd w:fill="FFFFFF" w:val="clear"/>
      <w:rPr>
        <w:rFonts w:ascii="Arial" w:hAnsi="Arial" w:cs="Arial"/>
        <w:color w:val="222222"/>
        <w:lang w:val="es-AR"/>
      </w:rPr>
    </w:pPr>
    <w:r>
      <w:rPr>
        <w:rFonts w:cs="Arial" w:ascii="Cambria" w:hAnsi="Cambria"/>
        <w:i/>
        <w:iCs/>
        <w:color w:val="0F243E"/>
        <w:lang w:val="es-AR"/>
      </w:rPr>
      <w:t>Nueva Vista DMC &amp; Tour Operator</w:t>
    </w:r>
    <w:r>
      <w:rPr>
        <w:rFonts w:cs="Arial" w:ascii="Arial" w:hAnsi="Arial"/>
        <w:color w:val="222222"/>
        <w:lang w:val="es-AR"/>
      </w:rPr>
      <w:t xml:space="preserve"> </w:t>
    </w:r>
    <w:r>
      <w:rPr>
        <w:rFonts w:cs="Arial" w:ascii="Cambria" w:hAnsi="Cambria"/>
        <w:i/>
        <w:iCs/>
        <w:color w:val="0F243E"/>
        <w:lang w:val="es-AR"/>
      </w:rPr>
      <w:t> </w:t>
    </w:r>
    <w:r>
      <w:rPr>
        <w:rFonts w:cs="Arial" w:ascii="Cambria" w:hAnsi="Cambria"/>
        <w:b/>
        <w:bCs/>
        <w:i/>
        <w:iCs/>
        <w:color w:val="0F243E"/>
        <w:lang w:val="es-AR"/>
      </w:rPr>
      <w:t>Adr:</w:t>
    </w:r>
    <w:r>
      <w:rPr>
        <w:rFonts w:cs="Arial" w:ascii="Cambria" w:hAnsi="Cambria"/>
        <w:i/>
        <w:iCs/>
        <w:color w:val="0F243E"/>
        <w:lang w:val="es-AR"/>
      </w:rPr>
      <w:t> 14 Vardanants Str., Apt. 1 Armenia/Yerevan</w:t>
    </w:r>
    <w:r>
      <w:rPr>
        <w:rFonts w:cs="Arial" w:ascii="Arial" w:hAnsi="Arial"/>
        <w:color w:val="222222"/>
        <w:lang w:val="es-AR"/>
      </w:rPr>
      <w:t xml:space="preserve"> </w:t>
    </w:r>
    <w:r>
      <w:rPr>
        <w:rFonts w:cs="Arial" w:ascii="Cambria" w:hAnsi="Cambria"/>
        <w:b/>
        <w:bCs/>
        <w:i/>
        <w:iCs/>
        <w:color w:val="0F243E"/>
        <w:lang w:val="es-AR"/>
      </w:rPr>
      <w:t>Tel/fax:</w:t>
    </w:r>
    <w:r>
      <w:rPr>
        <w:rFonts w:cs="Arial" w:ascii="Cambria" w:hAnsi="Cambria"/>
        <w:i/>
        <w:iCs/>
        <w:color w:val="0F243E"/>
        <w:lang w:val="es-AR"/>
      </w:rPr>
      <w:t> + 374 10 539936</w:t>
    </w:r>
    <w:r>
      <w:rPr>
        <w:rFonts w:cs="Arial" w:ascii="Cambria" w:hAnsi="Cambria"/>
        <w:b/>
        <w:bCs/>
        <w:i/>
        <w:iCs/>
        <w:color w:val="0F243E"/>
        <w:lang w:val="es-AR"/>
      </w:rPr>
      <w:t>,</w:t>
    </w:r>
    <w:r>
      <w:rPr>
        <w:rFonts w:cs="Arial" w:ascii="Cambria" w:hAnsi="Cambria"/>
        <w:i/>
        <w:iCs/>
        <w:color w:val="0F243E"/>
        <w:lang w:val="es-AR"/>
      </w:rPr>
      <w:t> + 374 10 541463</w:t>
    </w:r>
    <w:r>
      <w:rPr>
        <w:rFonts w:cs="Arial" w:ascii="Arial" w:hAnsi="Arial"/>
        <w:color w:val="222222"/>
        <w:lang w:val="es-AR"/>
      </w:rPr>
      <w:t xml:space="preserve">  </w:t>
    </w:r>
    <w:r>
      <w:rPr>
        <w:rFonts w:cs="Arial" w:ascii="Cambria" w:hAnsi="Cambria"/>
        <w:b/>
        <w:i/>
        <w:iCs/>
        <w:color w:val="0F243E"/>
        <w:lang w:val="es-AR"/>
      </w:rPr>
      <w:t xml:space="preserve">Email: </w:t>
    </w:r>
    <w:hyperlink r:id="rId1">
      <w:r>
        <w:rPr>
          <w:rStyle w:val="Hyperlink"/>
          <w:rFonts w:cs="Arial" w:ascii="Cambria" w:hAnsi="Cambria"/>
          <w:lang w:val="es-AR"/>
        </w:rPr>
        <w:t>info@nuevavista.am</w:t>
      </w:r>
    </w:hyperlink>
    <w:r>
      <w:rPr>
        <w:rFonts w:cs="Arial" w:ascii="Cambria" w:hAnsi="Cambria"/>
        <w:i/>
        <w:iCs/>
        <w:color w:val="0F243E"/>
        <w:lang w:val="es-AR"/>
      </w:rPr>
      <w:t xml:space="preserve"> </w:t>
    </w:r>
    <w:r>
      <w:rPr>
        <w:rFonts w:cs="Arial" w:ascii="Cambria" w:hAnsi="Cambria"/>
        <w:b/>
        <w:bCs/>
        <w:i/>
        <w:iCs/>
        <w:color w:val="0F243E"/>
        <w:lang w:val="es-AR"/>
      </w:rPr>
      <w:t>URL:</w:t>
    </w:r>
    <w:r>
      <w:rPr>
        <w:rFonts w:cs="Arial" w:ascii="Cambria" w:hAnsi="Cambria"/>
        <w:i/>
        <w:iCs/>
        <w:color w:val="0F243E"/>
        <w:lang w:val="es-AR"/>
      </w:rPr>
      <w:t> </w:t>
    </w:r>
    <w:hyperlink r:id="rId2" w:tgtFrame="_blank">
      <w:r>
        <w:rPr>
          <w:rStyle w:val="Hyperlink"/>
          <w:rFonts w:cs="Arial" w:ascii="Cambria" w:hAnsi="Cambria"/>
          <w:i/>
          <w:iCs/>
          <w:color w:val="365F91"/>
          <w:u w:val="single"/>
          <w:lang w:val="es-AR"/>
        </w:rPr>
        <w:t>www.explorearmenia.net</w:t>
      </w:r>
    </w:hyperlink>
    <w:r>
      <w:rPr>
        <w:rFonts w:cs="Arial" w:ascii="Cambria" w:hAnsi="Cambria"/>
        <w:i/>
        <w:iCs/>
        <w:color w:val="244061"/>
        <w:u w:val="single"/>
        <w:lang w:val="es-AR"/>
      </w:rPr>
      <w:t> </w:t>
    </w:r>
  </w:p>
  <w:p>
    <w:pPr>
      <w:pStyle w:val="Footer"/>
      <w:rPr>
        <w:rFonts w:ascii="Arial" w:hAnsi="Arial" w:cs="Arial"/>
        <w:color w:val="222222"/>
        <w:lang w:val="es-AR"/>
      </w:rPr>
    </w:pPr>
    <w:r>
      <w:rPr>
        <w:rFonts w:cs="Arial" w:ascii="Arial" w:hAnsi="Arial"/>
        <w:color w:val="222222"/>
        <w:lang w:val="es-AR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hd w:fill="FFFFFF" w:val="clear"/>
      <w:jc w:val="center"/>
      <w:rPr>
        <w:rFonts w:ascii="Arial" w:hAnsi="Arial" w:cs="Arial"/>
        <w:color w:val="222222"/>
        <w:lang w:val="es-AR" w:eastAsia="en-US"/>
      </w:rPr>
    </w:pPr>
    <w:r>
      <w:rPr>
        <w:rFonts w:cs="Arial" w:ascii="Cambria" w:hAnsi="Cambria"/>
        <w:i/>
        <w:iCs/>
        <w:color w:val="0F243E"/>
        <w:lang w:val="es-AR" w:eastAsia="en-US"/>
      </w:rPr>
      <w:t>Nueva Vista DMC &amp; Tour Operator</w:t>
    </w:r>
    <w:r>
      <w:rPr>
        <w:rFonts w:cs="Arial" w:ascii="Arial" w:hAnsi="Arial"/>
        <w:color w:val="222222"/>
        <w:lang w:val="es-AR" w:eastAsia="en-US"/>
      </w:rPr>
      <w:t xml:space="preserve"> </w:t>
    </w:r>
    <w:r>
      <w:rPr>
        <w:rFonts w:cs="Arial" w:ascii="Cambria" w:hAnsi="Cambria"/>
        <w:i/>
        <w:iCs/>
        <w:color w:val="0F243E"/>
        <w:lang w:val="en-US" w:eastAsia="en-US"/>
      </w:rPr>
      <w:t> </w:t>
    </w:r>
    <w:r>
      <w:rPr>
        <w:rFonts w:cs="Arial" w:ascii="Cambria" w:hAnsi="Cambria"/>
        <w:b/>
        <w:bCs/>
        <w:i/>
        <w:iCs/>
        <w:color w:val="0F243E"/>
        <w:lang w:val="en-US" w:eastAsia="en-US"/>
      </w:rPr>
      <w:t>Adr:</w:t>
    </w:r>
    <w:r>
      <w:rPr>
        <w:rFonts w:cs="Arial" w:ascii="Cambria" w:hAnsi="Cambria"/>
        <w:i/>
        <w:iCs/>
        <w:color w:val="0F243E"/>
        <w:lang w:val="en-US" w:eastAsia="en-US"/>
      </w:rPr>
      <w:t> 14 Vardanants Str., Apt. 1 Armenia/Yerevan</w:t>
    </w:r>
    <w:r>
      <w:rPr>
        <w:rFonts w:cs="Arial" w:ascii="Arial" w:hAnsi="Arial"/>
        <w:color w:val="222222"/>
        <w:lang w:val="en-US" w:eastAsia="en-US"/>
      </w:rPr>
      <w:t xml:space="preserve"> </w:t>
    </w:r>
    <w:r>
      <w:rPr>
        <w:rFonts w:cs="Arial" w:ascii="Cambria" w:hAnsi="Cambria"/>
        <w:b/>
        <w:bCs/>
        <w:i/>
        <w:iCs/>
        <w:color w:val="0F243E"/>
        <w:lang w:val="en-US" w:eastAsia="en-US"/>
      </w:rPr>
      <w:t>Tel/fax:</w:t>
    </w:r>
    <w:r>
      <w:rPr>
        <w:rFonts w:cs="Arial" w:ascii="Cambria" w:hAnsi="Cambria"/>
        <w:i/>
        <w:iCs/>
        <w:color w:val="0F243E"/>
        <w:lang w:val="en-US" w:eastAsia="en-US"/>
      </w:rPr>
      <w:t> + 374 10 539936</w:t>
    </w:r>
    <w:r>
      <w:rPr>
        <w:rFonts w:cs="Arial" w:ascii="Cambria" w:hAnsi="Cambria"/>
        <w:b/>
        <w:bCs/>
        <w:i/>
        <w:iCs/>
        <w:color w:val="0F243E"/>
        <w:lang w:val="en-US" w:eastAsia="en-US"/>
      </w:rPr>
      <w:t>,</w:t>
    </w:r>
    <w:r>
      <w:rPr>
        <w:rFonts w:cs="Arial" w:ascii="Cambria" w:hAnsi="Cambria"/>
        <w:i/>
        <w:iCs/>
        <w:color w:val="0F243E"/>
        <w:lang w:val="en-US" w:eastAsia="en-US"/>
      </w:rPr>
      <w:t> + 374 10 541463</w:t>
    </w:r>
    <w:r>
      <w:rPr>
        <w:rFonts w:cs="Arial" w:ascii="Arial" w:hAnsi="Arial"/>
        <w:color w:val="222222"/>
        <w:lang w:val="es-AR" w:eastAsia="en-US"/>
      </w:rPr>
      <w:t xml:space="preserve">  </w:t>
    </w:r>
    <w:r>
      <w:rPr>
        <w:rFonts w:cs="Arial" w:ascii="Cambria" w:hAnsi="Cambria"/>
        <w:b/>
        <w:i/>
        <w:iCs/>
        <w:color w:val="0F243E"/>
        <w:lang w:val="en-US" w:eastAsia="en-US"/>
      </w:rPr>
      <w:t xml:space="preserve">Email: </w:t>
    </w:r>
    <w:hyperlink r:id="rId1">
      <w:r>
        <w:rPr>
          <w:rStyle w:val="Hyperlink"/>
          <w:rFonts w:cs="Arial" w:ascii="Cambria" w:hAnsi="Cambria"/>
          <w:i/>
          <w:iCs/>
          <w:lang w:val="en-US" w:eastAsia="en-US"/>
        </w:rPr>
        <w:t>info@nuevavista.am</w:t>
      </w:r>
    </w:hyperlink>
    <w:r>
      <w:rPr>
        <w:rFonts w:cs="Arial" w:ascii="Cambria" w:hAnsi="Cambria"/>
        <w:i/>
        <w:iCs/>
        <w:color w:val="0F243E"/>
        <w:lang w:val="en-US" w:eastAsia="en-US"/>
      </w:rPr>
      <w:t xml:space="preserve"> </w:t>
    </w:r>
    <w:r>
      <w:rPr>
        <w:rFonts w:cs="Arial" w:ascii="Cambria" w:hAnsi="Cambria"/>
        <w:b/>
        <w:bCs/>
        <w:i/>
        <w:iCs/>
        <w:color w:val="0F243E"/>
        <w:lang w:val="en-US" w:eastAsia="en-US"/>
      </w:rPr>
      <w:t>URL:</w:t>
    </w:r>
    <w:r>
      <w:rPr>
        <w:rFonts w:cs="Arial" w:ascii="Cambria" w:hAnsi="Cambria"/>
        <w:i/>
        <w:iCs/>
        <w:color w:val="0F243E"/>
        <w:lang w:val="en-US" w:eastAsia="en-US"/>
      </w:rPr>
      <w:t> </w:t>
    </w:r>
    <w:hyperlink r:id="rId2" w:tgtFrame="_blank">
      <w:r>
        <w:rPr>
          <w:rStyle w:val="Hyperlink"/>
          <w:rFonts w:cs="Arial" w:ascii="Cambria" w:hAnsi="Cambria"/>
          <w:i/>
          <w:iCs/>
          <w:color w:val="365F91"/>
          <w:u w:val="single"/>
          <w:lang w:val="en-US" w:eastAsia="en-US"/>
        </w:rPr>
        <w:t>www.explorearmenia.net</w:t>
      </w:r>
    </w:hyperlink>
  </w:p>
  <w:p>
    <w:pPr>
      <w:pStyle w:val="Footer"/>
      <w:jc w:val="center"/>
      <w:rPr>
        <w:rFonts w:ascii="Arial" w:hAnsi="Arial" w:cs="Arial"/>
        <w:color w:val="222222"/>
        <w:lang w:val="en-US" w:eastAsia="en-US"/>
      </w:rPr>
    </w:pPr>
    <w:r>
      <w:rPr>
        <w:rFonts w:cs="Arial" w:ascii="Arial" w:hAnsi="Arial"/>
        <w:color w:val="222222"/>
        <w:lang w:val="en-US" w:eastAsia="en-US"/>
      </w:rPr>
    </w:r>
  </w:p>
  <w:p>
    <w:pPr>
      <w:pStyle w:val="Footer"/>
      <w:rPr>
        <w:lang w:val="en-US"/>
      </w:rPr>
    </w:pPr>
    <w:r>
      <w:rPr>
        <w:lang w:val="en-US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905" w:type="dxa"/>
      <w:jc w:val="center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</w:tblPr>
    <w:tblGrid>
      <w:gridCol w:w="2447"/>
      <w:gridCol w:w="2476"/>
      <w:gridCol w:w="2234"/>
      <w:gridCol w:w="2748"/>
    </w:tblGrid>
    <w:tr>
      <w:trPr/>
      <w:tc>
        <w:tcPr>
          <w:tcW w:w="2447" w:type="dxa"/>
          <w:tcBorders>
            <w:top w:val="single" w:sz="4" w:space="0" w:color="FFFFFF"/>
            <w:start w:val="single" w:sz="4" w:space="0" w:color="FFFFFF"/>
            <w:bottom w:val="single" w:sz="4" w:space="0" w:color="FFFFFF"/>
            <w:end w:val="single" w:sz="4" w:space="0" w:color="FFFFFF"/>
          </w:tcBorders>
          <w:vAlign w:val="center"/>
        </w:tcPr>
        <w:p>
          <w:pPr>
            <w:pStyle w:val="Header"/>
            <w:jc w:val="center"/>
            <w:rPr>
              <w:lang w:val="en-US" w:eastAsia="en-US"/>
            </w:rPr>
          </w:pPr>
          <w:r>
            <w:rPr>
              <w:lang w:val="en-US" w:eastAsia="en-US"/>
            </w:rPr>
            <w:drawing>
              <wp:inline distT="0" distB="0" distL="0" distR="0">
                <wp:extent cx="1093470" cy="1057275"/>
                <wp:effectExtent l="0" t="0" r="0" b="0"/>
                <wp:docPr id="3" name="Picture 0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0" descr="" titl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11" t="-12" r="-11" b="-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3470" cy="1057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76" w:type="dxa"/>
          <w:tcBorders>
            <w:top w:val="single" w:sz="4" w:space="0" w:color="FFFFFF"/>
            <w:start w:val="single" w:sz="4" w:space="0" w:color="FFFFFF"/>
            <w:bottom w:val="single" w:sz="4" w:space="0" w:color="FFFFFF"/>
            <w:end w:val="single" w:sz="4" w:space="0" w:color="FFFFFF"/>
          </w:tcBorders>
          <w:vAlign w:val="center"/>
        </w:tcPr>
        <w:p>
          <w:pPr>
            <w:pStyle w:val="Header"/>
            <w:jc w:val="center"/>
            <w:rPr>
              <w:lang w:val="en-US" w:eastAsia="en-US"/>
            </w:rPr>
          </w:pPr>
          <w:r>
            <w:rPr>
              <w:lang w:val="en-US" w:eastAsia="en-US"/>
            </w:rPr>
            <w:drawing>
              <wp:inline distT="0" distB="0" distL="0" distR="0">
                <wp:extent cx="1143000" cy="428625"/>
                <wp:effectExtent l="0" t="0" r="0" b="0"/>
                <wp:docPr id="4" name="Picture 1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1" descr="" titl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 l="-20" t="-52" r="-20" b="-5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3000" cy="428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34" w:type="dxa"/>
          <w:tcBorders>
            <w:top w:val="single" w:sz="4" w:space="0" w:color="FFFFFF"/>
            <w:start w:val="single" w:sz="4" w:space="0" w:color="FFFFFF"/>
            <w:bottom w:val="single" w:sz="4" w:space="0" w:color="FFFFFF"/>
            <w:end w:val="single" w:sz="4" w:space="0" w:color="FFFFFF"/>
          </w:tcBorders>
          <w:vAlign w:val="center"/>
        </w:tcPr>
        <w:p>
          <w:pPr>
            <w:pStyle w:val="Header"/>
            <w:jc w:val="center"/>
            <w:rPr>
              <w:lang w:val="en-US" w:eastAsia="en-US"/>
            </w:rPr>
          </w:pPr>
          <w:r>
            <w:rPr>
              <w:lang w:val="en-US" w:eastAsia="en-US"/>
            </w:rPr>
            <w:drawing>
              <wp:inline distT="0" distB="0" distL="0" distR="0">
                <wp:extent cx="737235" cy="433070"/>
                <wp:effectExtent l="0" t="0" r="0" b="0"/>
                <wp:docPr id="5" name="Picture 3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 descr="" titl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 l="-26" t="-43" r="-26" b="-4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7235" cy="4330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48" w:type="dxa"/>
          <w:tcBorders>
            <w:top w:val="single" w:sz="4" w:space="0" w:color="FFFFFF"/>
            <w:start w:val="single" w:sz="4" w:space="0" w:color="FFFFFF"/>
            <w:bottom w:val="single" w:sz="4" w:space="0" w:color="FFFFFF"/>
            <w:end w:val="single" w:sz="4" w:space="0" w:color="FFFFFF"/>
          </w:tcBorders>
          <w:vAlign w:val="center"/>
        </w:tcPr>
        <w:p>
          <w:pPr>
            <w:pStyle w:val="Header"/>
            <w:jc w:val="center"/>
            <w:rPr>
              <w:rFonts w:ascii="inherit;Times New Roman" w:hAnsi="inherit;Times New Roman" w:cs="inherit;Times New Roman"/>
              <w:color w:val="385898"/>
              <w:sz w:val="18"/>
              <w:szCs w:val="18"/>
              <w:lang w:val="en-US" w:eastAsia="en-US"/>
            </w:rPr>
          </w:pPr>
          <w:r>
            <w:rPr>
              <w:rFonts w:cs="inherit;Times New Roman" w:ascii="inherit;Times New Roman" w:hAnsi="inherit;Times New Roman"/>
              <w:color w:val="385898"/>
              <w:sz w:val="18"/>
              <w:szCs w:val="18"/>
              <w:lang w:val="en-US" w:eastAsia="en-US"/>
            </w:rPr>
            <w:drawing>
              <wp:inline distT="0" distB="0" distL="0" distR="0">
                <wp:extent cx="1304925" cy="1304925"/>
                <wp:effectExtent l="0" t="0" r="0" b="0"/>
                <wp:docPr id="6" name="Picture 4" descr="" title="">
                  <a:hlinkClick xmlns:a="http://schemas.openxmlformats.org/drawingml/2006/main" r:id="rId5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icture 4" descr="" title="">
                          <a:hlinkClick r:id="rId5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 l="-19" t="-19" r="-19" b="-1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4925" cy="13049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252"/>
        <w:tab w:val="center" w:pos="3870" w:leader="none"/>
        <w:tab w:val="right" w:pos="8504" w:leader="none"/>
      </w:tabs>
      <w:rPr/>
    </w:pPr>
    <w:r>
      <w:rPr/>
    </w:r>
  </w:p>
  <w:tbl>
    <w:tblPr>
      <w:tblW w:w="7751" w:type="dxa"/>
      <w:jc w:val="center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</w:tblPr>
    <w:tblGrid>
      <w:gridCol w:w="2551"/>
      <w:gridCol w:w="2374"/>
      <w:gridCol w:w="2826"/>
    </w:tblGrid>
    <w:tr>
      <w:trPr/>
      <w:tc>
        <w:tcPr>
          <w:tcW w:w="2551" w:type="dxa"/>
          <w:tcBorders>
            <w:top w:val="single" w:sz="4" w:space="0" w:color="FFFFFF"/>
            <w:start w:val="single" w:sz="4" w:space="0" w:color="FFFFFF"/>
            <w:bottom w:val="single" w:sz="4" w:space="0" w:color="FFFFFF"/>
            <w:end w:val="single" w:sz="4" w:space="0" w:color="FFFFFF"/>
          </w:tcBorders>
          <w:vAlign w:val="center"/>
        </w:tcPr>
        <w:p>
          <w:pPr>
            <w:pStyle w:val="Header"/>
            <w:rPr/>
          </w:pPr>
          <w:r>
            <w:rPr/>
            <w:drawing>
              <wp:inline distT="0" distB="0" distL="0" distR="0">
                <wp:extent cx="1149350" cy="812800"/>
                <wp:effectExtent l="0" t="0" r="0" b="0"/>
                <wp:docPr id="7" name="Image7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Image7" descr="" titl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31" t="-44" r="-31" b="-4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9350" cy="812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/>
            <w:t xml:space="preserve">  </w:t>
          </w:r>
        </w:p>
      </w:tc>
      <w:tc>
        <w:tcPr>
          <w:tcW w:w="2374" w:type="dxa"/>
          <w:tcBorders>
            <w:top w:val="single" w:sz="4" w:space="0" w:color="FFFFFF"/>
            <w:start w:val="single" w:sz="4" w:space="0" w:color="FFFFFF"/>
            <w:bottom w:val="single" w:sz="4" w:space="0" w:color="FFFFFF"/>
            <w:end w:val="single" w:sz="4" w:space="0" w:color="FFFFFF"/>
          </w:tcBorders>
          <w:vAlign w:val="center"/>
        </w:tcPr>
        <w:p>
          <w:pPr>
            <w:pStyle w:val="Header"/>
            <w:tabs>
              <w:tab w:val="left" w:pos="1030" w:leader="none"/>
              <w:tab w:val="left" w:pos="1480" w:leader="none"/>
              <w:tab w:val="center" w:pos="4252" w:leader="none"/>
              <w:tab w:val="right" w:pos="8504" w:leader="none"/>
            </w:tabs>
            <w:ind w:start="-230" w:end="263"/>
            <w:jc w:val="center"/>
            <w:rPr/>
          </w:pPr>
          <w:r>
            <w:rPr>
              <w:lang w:val="en-US" w:eastAsia="en-US"/>
            </w:rPr>
            <w:t xml:space="preserve">        </w:t>
          </w:r>
          <w:r>
            <w:rPr>
              <w:lang w:val="en-US" w:eastAsia="en-US"/>
            </w:rPr>
            <w:drawing>
              <wp:inline distT="0" distB="0" distL="0" distR="0">
                <wp:extent cx="737235" cy="433070"/>
                <wp:effectExtent l="0" t="0" r="0" b="0"/>
                <wp:docPr id="8" name="Image1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age1" descr="" titl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 l="-26" t="-43" r="-26" b="-4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7235" cy="4330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lang w:val="en-US" w:eastAsia="en-US"/>
            </w:rPr>
            <w:t xml:space="preserve"> </w:t>
          </w:r>
        </w:p>
      </w:tc>
      <w:tc>
        <w:tcPr>
          <w:tcW w:w="2826" w:type="dxa"/>
          <w:tcBorders>
            <w:top w:val="single" w:sz="4" w:space="0" w:color="FFFFFF"/>
            <w:start w:val="single" w:sz="4" w:space="0" w:color="FFFFFF"/>
            <w:bottom w:val="single" w:sz="4" w:space="0" w:color="FFFFFF"/>
            <w:end w:val="single" w:sz="4" w:space="0" w:color="FFFFFF"/>
          </w:tcBorders>
          <w:vAlign w:val="center"/>
        </w:tcPr>
        <w:p>
          <w:pPr>
            <w:pStyle w:val="Header"/>
            <w:ind w:end="77"/>
            <w:jc w:val="center"/>
            <w:rPr>
              <w:rFonts w:ascii="inherit;Times New Roman" w:hAnsi="inherit;Times New Roman" w:cs="inherit;Times New Roman"/>
              <w:color w:val="385898"/>
              <w:sz w:val="18"/>
              <w:szCs w:val="18"/>
              <w:lang w:val="en-US" w:eastAsia="en-US"/>
            </w:rPr>
          </w:pPr>
          <w:r>
            <w:rPr>
              <w:rFonts w:cs="inherit;Times New Roman" w:ascii="inherit;Times New Roman" w:hAnsi="inherit;Times New Roman"/>
              <w:color w:val="385898"/>
              <w:sz w:val="18"/>
              <w:szCs w:val="18"/>
              <w:lang w:val="en-US" w:eastAsia="en-US"/>
            </w:rPr>
            <w:drawing>
              <wp:inline distT="0" distB="0" distL="0" distR="0">
                <wp:extent cx="1495425" cy="1049655"/>
                <wp:effectExtent l="0" t="0" r="0" b="0"/>
                <wp:docPr id="9" name="Image2" descr="" title="">
                  <a:hlinkClick xmlns:a="http://schemas.openxmlformats.org/drawingml/2006/main" r:id="rId4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Image2" descr="" title="">
                          <a:hlinkClick r:id="rId4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 l="-19" t="-19" r="-19" b="-1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95425" cy="10496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tabs>
        <w:tab w:val="clear" w:pos="4252"/>
        <w:tab w:val="center" w:pos="3870" w:leader="none"/>
        <w:tab w:val="right" w:pos="8504" w:leader="none"/>
      </w:tabs>
      <w:jc w:val="end"/>
      <w:rPr/>
    </w:pPr>
    <w:r>
      <w:rPr/>
      <w:t>2026</w:t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pos="0" w:val="num"/>
        </w:tabs>
        <w:ind w:hanging="0" w:start="0"/>
      </w:pPr>
    </w:lvl>
    <w:lvl w:ilvl="1">
      <w:start w:val="1"/>
      <w:pStyle w:val="Heading2"/>
      <w:numFmt w:val="none"/>
      <w:suff w:val="nothing"/>
      <w:lvlText w:val=""/>
      <w:lvlJc w:val="start"/>
      <w:pPr>
        <w:tabs>
          <w:tab w:pos="0" w:val="num"/>
        </w:tabs>
        <w:ind w:hanging="0" w:start="0"/>
      </w:pPr>
    </w:lvl>
    <w:lvl w:ilvl="2">
      <w:start w:val="1"/>
      <w:numFmt w:val="none"/>
      <w:suff w:val="nothing"/>
      <w:lvlText w:val=""/>
      <w:lvlJc w:val="start"/>
      <w:pPr>
        <w:tabs>
          <w:tab w:pos="0" w:val="num"/>
        </w:tabs>
        <w:ind w:hanging="0" w:start="0"/>
      </w:pPr>
    </w:lvl>
    <w:lvl w:ilvl="3">
      <w:start w:val="1"/>
      <w:numFmt w:val="none"/>
      <w:suff w:val="nothing"/>
      <w:lvlText w:val=""/>
      <w:lvlJc w:val="start"/>
      <w:pPr>
        <w:tabs>
          <w:tab w:pos="0" w:val="num"/>
        </w:tabs>
        <w:ind w:hanging="0" w:start="0"/>
      </w:pPr>
    </w:lvl>
    <w:lvl w:ilvl="4">
      <w:start w:val="1"/>
      <w:numFmt w:val="none"/>
      <w:suff w:val="nothing"/>
      <w:lvlText w:val=""/>
      <w:lvlJc w:val="start"/>
      <w:pPr>
        <w:tabs>
          <w:tab w:pos="0" w:val="num"/>
        </w:tabs>
        <w:ind w:hanging="0" w:start="0"/>
      </w:pPr>
    </w:lvl>
    <w:lvl w:ilvl="5">
      <w:start w:val="1"/>
      <w:numFmt w:val="none"/>
      <w:suff w:val="nothing"/>
      <w:lvlText w:val=""/>
      <w:lvlJc w:val="start"/>
      <w:pPr>
        <w:tabs>
          <w:tab w:pos="0" w:val="num"/>
        </w:tabs>
        <w:ind w:hanging="0" w:start="0"/>
      </w:pPr>
    </w:lvl>
    <w:lvl w:ilvl="6">
      <w:start w:val="1"/>
      <w:numFmt w:val="none"/>
      <w:suff w:val="nothing"/>
      <w:lvlText w:val=""/>
      <w:lvlJc w:val="start"/>
      <w:pPr>
        <w:tabs>
          <w:tab w:pos="0" w:val="num"/>
        </w:tabs>
        <w:ind w:hanging="0" w:start="0"/>
      </w:pPr>
    </w:lvl>
    <w:lvl w:ilvl="7">
      <w:start w:val="1"/>
      <w:numFmt w:val="none"/>
      <w:suff w:val="nothing"/>
      <w:lvlText w:val=""/>
      <w:lvlJc w:val="start"/>
      <w:pPr>
        <w:tabs>
          <w:tab w:pos="0" w:val="num"/>
        </w:tabs>
        <w:ind w:hanging="0" w:start="0"/>
      </w:pPr>
    </w:lvl>
    <w:lvl w:ilvl="8">
      <w:start w:val="1"/>
      <w:numFmt w:val="none"/>
      <w:suff w:val="nothing"/>
      <w:lvlText w:val=""/>
      <w:lvlJc w:val="start"/>
      <w:pPr>
        <w:tabs>
          <w:tab w:pos="0" w:val="num"/>
        </w:tabs>
        <w:ind w:hanging="0" w:start="0"/>
      </w:pPr>
    </w:lvl>
  </w:abstractNum>
  <w:abstractNum w:abstractNumId="2">
    <w:lvl w:ilvl="0">
      <w:start w:val="1"/>
      <w:numFmt w:val="bullet"/>
      <w:lvlText w:val=""/>
      <w:lvlJc w:val="start"/>
      <w:pPr>
        <w:tabs>
          <w:tab w:pos="0" w:val="num"/>
        </w:tabs>
        <w:ind w:hanging="360" w:start="720"/>
      </w:pPr>
      <w:rPr>
        <w:rFonts w:ascii="Wingdings" w:cs="Wingdings" w:hAnsi="Wingdings" w:hint="default"/>
        <w:color w:val="FF0000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pos="0" w:val="num"/>
        </w:tabs>
        <w:ind w:hanging="360" w:start="360"/>
      </w:pPr>
      <w:rPr>
        <w:rFonts w:ascii="Symbol" w:cs="Symbol" w:hAnsi="Symbol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pos="0" w:val="num"/>
        </w:tabs>
        <w:ind w:hanging="360" w:start="360"/>
      </w:pPr>
      <w:rPr>
        <w:rFonts w:ascii="Symbol" w:cs="Symbol" w:hAnsi="Symbol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pos="0" w:val="num"/>
        </w:tabs>
        <w:ind w:hanging="360" w:start="360"/>
      </w:pPr>
      <w:rPr>
        <w:rFonts w:ascii="Symbol" w:cs="Symbol" w:hAnsi="Symbol" w:hint="default"/>
      </w:r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embedSystemFonts/>
  <w:proofState w:grammar="clean" w:spelling="clean"/>
  <w:stylePaneFormatFilter w:val="0004"/>
  <w:footnotePr>
    <w:footnote w:id="-1"/>
    <w:footnote w:id="0"/>
  </w:footnotePr>
  <w:doNotTrackMoves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zoom w:percent="100"/>
  <w:defaultTabStop w:val="708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Liberation Serif" w:cs="FreeSans" w:eastAsia="Noto Serif CJK SC" w:hAnsi="Liberation Serif"/>
        <w:sz w:val="24"/>
        <w:szCs w:val="24"/>
        <w:lang w:bidi="hi-IN" w:eastAsia="zh-CN" w:val="en-US"/>
      </w:rPr>
    </w:rPrDefault>
    <w:pPrDefault>
      <w:pPr>
        <w:suppressAutoHyphens w:val="true"/>
      </w:pPr>
    </w:pPrDefault>
  </w:docDefaults>
  <w:style w:styleId="Normal" w:type="paragraph">
    <w:name w:val="Normal"/>
    <w:qFormat/>
    <w:pPr>
      <w:widowControl/>
      <w:bidi w:val="0"/>
    </w:pPr>
    <w:rPr>
      <w:rFonts w:ascii="Times New Roman" w:cs="Times New Roman" w:eastAsia="Times New Roman" w:hAnsi="Times New Roman"/>
      <w:color w:val="auto"/>
      <w:sz w:val="24"/>
      <w:szCs w:val="24"/>
      <w:lang w:bidi="ar-SA" w:eastAsia="zh-CN" w:val="es-ES"/>
    </w:rPr>
  </w:style>
  <w:style w:styleId="Heading1" w:type="paragraph">
    <w:name w:val="Heading 1"/>
    <w:basedOn w:val="Normal"/>
    <w:next w:val="Normal"/>
    <w:qFormat/>
    <w:pPr>
      <w:keepNext w:val="true"/>
      <w:numPr>
        <w:ilvl w:val="0"/>
        <w:numId w:val="1"/>
      </w:numPr>
      <w:spacing w:after="60" w:before="240"/>
      <w:outlineLvl w:val="0"/>
    </w:pPr>
    <w:rPr>
      <w:rFonts w:ascii="Cambria" w:cs="Cambria" w:hAnsi="Cambria"/>
      <w:b/>
      <w:bCs/>
      <w:kern w:val="2"/>
      <w:sz w:val="32"/>
      <w:szCs w:val="32"/>
      <w:lang w:val="en-US"/>
    </w:rPr>
  </w:style>
  <w:style w:styleId="Heading2" w:type="paragraph">
    <w:name w:val="Heading 2"/>
    <w:basedOn w:val="Normal"/>
    <w:next w:val="Normal"/>
    <w:qFormat/>
    <w:pPr>
      <w:keepNext w:val="true"/>
      <w:numPr>
        <w:ilvl w:val="1"/>
        <w:numId w:val="1"/>
      </w:numPr>
      <w:spacing w:after="60" w:before="240"/>
      <w:outlineLvl w:val="1"/>
    </w:pPr>
    <w:rPr>
      <w:rFonts w:ascii="Cambria" w:cs="Cambria" w:hAnsi="Cambria"/>
      <w:b/>
      <w:bCs/>
      <w:i/>
      <w:iCs/>
      <w:sz w:val="28"/>
      <w:szCs w:val="28"/>
      <w:lang w:val="en-US"/>
    </w:rPr>
  </w:style>
  <w:style w:styleId="WW8Num1z0" w:type="character">
    <w:name w:val="WW8Num1z0"/>
    <w:qFormat/>
    <w:rPr>
      <w:rFonts w:ascii="Symbol" w:cs="Symbol" w:hAnsi="Symbol"/>
    </w:rPr>
  </w:style>
  <w:style w:styleId="WW8Num2z0" w:type="character">
    <w:name w:val="WW8Num2z0"/>
    <w:qFormat/>
    <w:rPr/>
  </w:style>
  <w:style w:styleId="WW8Num3z0" w:type="character">
    <w:name w:val="WW8Num3z0"/>
    <w:qFormat/>
    <w:rPr>
      <w:rFonts w:ascii="Wingdings" w:cs="Wingdings" w:hAnsi="Wingdings"/>
      <w:color w:val="FF0000"/>
    </w:rPr>
  </w:style>
  <w:style w:styleId="WW8Num3z1" w:type="character">
    <w:name w:val="WW8Num3z1"/>
    <w:qFormat/>
    <w:rPr>
      <w:rFonts w:ascii="Courier New" w:cs="Courier New" w:hAnsi="Courier New"/>
    </w:rPr>
  </w:style>
  <w:style w:styleId="WW8Num3z2" w:type="character">
    <w:name w:val="WW8Num3z2"/>
    <w:qFormat/>
    <w:rPr>
      <w:rFonts w:ascii="Wingdings" w:cs="Wingdings" w:hAnsi="Wingdings"/>
    </w:rPr>
  </w:style>
  <w:style w:styleId="WW8Num3z3" w:type="character">
    <w:name w:val="WW8Num3z3"/>
    <w:qFormat/>
    <w:rPr>
      <w:rFonts w:ascii="Symbol" w:cs="Symbol" w:hAnsi="Symbol"/>
    </w:rPr>
  </w:style>
  <w:style w:styleId="WW8Num4z0" w:type="character">
    <w:name w:val="WW8Num4z0"/>
    <w:qFormat/>
    <w:rPr>
      <w:rFonts w:ascii="Symbol" w:cs="Symbol" w:hAnsi="Symbol"/>
    </w:rPr>
  </w:style>
  <w:style w:styleId="WW8Num5z0" w:type="character">
    <w:name w:val="WW8Num5z0"/>
    <w:qFormat/>
    <w:rPr>
      <w:rFonts w:ascii="Symbol" w:cs="Symbol" w:hAnsi="Symbol"/>
    </w:rPr>
  </w:style>
  <w:style w:styleId="WW8Num5z1" w:type="character">
    <w:name w:val="WW8Num5z1"/>
    <w:qFormat/>
    <w:rPr>
      <w:rFonts w:ascii="Courier New" w:cs="Courier New" w:hAnsi="Courier New"/>
    </w:rPr>
  </w:style>
  <w:style w:styleId="WW8Num5z2" w:type="character">
    <w:name w:val="WW8Num5z2"/>
    <w:qFormat/>
    <w:rPr>
      <w:rFonts w:ascii="Wingdings" w:cs="Wingdings" w:hAnsi="Wingdings"/>
    </w:rPr>
  </w:style>
  <w:style w:styleId="WW8Num6z0" w:type="character">
    <w:name w:val="WW8Num6z0"/>
    <w:qFormat/>
    <w:rPr>
      <w:b/>
      <w:color w:val="FF0000"/>
    </w:rPr>
  </w:style>
  <w:style w:styleId="WW8Num7z0" w:type="character">
    <w:name w:val="WW8Num7z0"/>
    <w:qFormat/>
    <w:rPr>
      <w:rFonts w:ascii="Symbol" w:cs="Symbol" w:hAnsi="Symbol"/>
    </w:rPr>
  </w:style>
  <w:style w:styleId="WW8Num7z1" w:type="character">
    <w:name w:val="WW8Num7z1"/>
    <w:qFormat/>
    <w:rPr>
      <w:rFonts w:ascii="Courier New" w:cs="Courier New" w:hAnsi="Courier New"/>
    </w:rPr>
  </w:style>
  <w:style w:styleId="WW8Num7z2" w:type="character">
    <w:name w:val="WW8Num7z2"/>
    <w:qFormat/>
    <w:rPr>
      <w:rFonts w:ascii="Wingdings" w:cs="Wingdings" w:hAnsi="Wingdings"/>
    </w:rPr>
  </w:style>
  <w:style w:styleId="WW8Num8z0" w:type="character">
    <w:name w:val="WW8Num8z0"/>
    <w:qFormat/>
    <w:rPr>
      <w:rFonts w:ascii="Wingdings" w:cs="Wingdings" w:hAnsi="Wingdings"/>
      <w:color w:val="FF0000"/>
    </w:rPr>
  </w:style>
  <w:style w:styleId="WW8Num8z1" w:type="character">
    <w:name w:val="WW8Num8z1"/>
    <w:qFormat/>
    <w:rPr>
      <w:rFonts w:ascii="Courier New" w:cs="Courier New" w:hAnsi="Courier New"/>
    </w:rPr>
  </w:style>
  <w:style w:styleId="WW8Num8z2" w:type="character">
    <w:name w:val="WW8Num8z2"/>
    <w:qFormat/>
    <w:rPr>
      <w:rFonts w:ascii="Wingdings" w:cs="Wingdings" w:hAnsi="Wingdings"/>
    </w:rPr>
  </w:style>
  <w:style w:styleId="WW8Num8z3" w:type="character">
    <w:name w:val="WW8Num8z3"/>
    <w:qFormat/>
    <w:rPr>
      <w:rFonts w:ascii="Symbol" w:cs="Symbol" w:hAnsi="Symbol"/>
    </w:rPr>
  </w:style>
  <w:style w:styleId="WW8Num9z0" w:type="character">
    <w:name w:val="WW8Num9z0"/>
    <w:qFormat/>
    <w:rPr>
      <w:rFonts w:ascii="Symbol" w:cs="Symbol" w:hAnsi="Symbol"/>
    </w:rPr>
  </w:style>
  <w:style w:styleId="WW8Num9z1" w:type="character">
    <w:name w:val="WW8Num9z1"/>
    <w:qFormat/>
    <w:rPr>
      <w:rFonts w:ascii="Courier New" w:cs="Courier New" w:hAnsi="Courier New"/>
    </w:rPr>
  </w:style>
  <w:style w:styleId="WW8Num9z2" w:type="character">
    <w:name w:val="WW8Num9z2"/>
    <w:qFormat/>
    <w:rPr>
      <w:rFonts w:ascii="Wingdings" w:cs="Wingdings" w:hAnsi="Wingdings"/>
    </w:rPr>
  </w:style>
  <w:style w:styleId="WW8Num10z0" w:type="character">
    <w:name w:val="WW8Num10z0"/>
    <w:qFormat/>
    <w:rPr>
      <w:rFonts w:ascii="Symbol" w:cs="Symbol" w:hAnsi="Symbol"/>
    </w:rPr>
  </w:style>
  <w:style w:styleId="WW8Num10z1" w:type="character">
    <w:name w:val="WW8Num10z1"/>
    <w:qFormat/>
    <w:rPr>
      <w:rFonts w:ascii="Courier New" w:cs="Courier New" w:hAnsi="Courier New"/>
    </w:rPr>
  </w:style>
  <w:style w:styleId="WW8Num10z2" w:type="character">
    <w:name w:val="WW8Num10z2"/>
    <w:qFormat/>
    <w:rPr>
      <w:rFonts w:ascii="Wingdings" w:cs="Wingdings" w:hAnsi="Wingdings"/>
    </w:rPr>
  </w:style>
  <w:style w:styleId="WW8Num11z0" w:type="character">
    <w:name w:val="WW8Num11z0"/>
    <w:qFormat/>
    <w:rPr>
      <w:rFonts w:ascii="Wingdings" w:cs="Wingdings" w:hAnsi="Wingdings"/>
      <w:color w:val="FF0000"/>
    </w:rPr>
  </w:style>
  <w:style w:styleId="WW8Num11z1" w:type="character">
    <w:name w:val="WW8Num11z1"/>
    <w:qFormat/>
    <w:rPr>
      <w:rFonts w:ascii="Courier New" w:cs="Courier New" w:hAnsi="Courier New"/>
    </w:rPr>
  </w:style>
  <w:style w:styleId="WW8Num11z2" w:type="character">
    <w:name w:val="WW8Num11z2"/>
    <w:qFormat/>
    <w:rPr>
      <w:rFonts w:ascii="Wingdings" w:cs="Wingdings" w:hAnsi="Wingdings"/>
    </w:rPr>
  </w:style>
  <w:style w:styleId="WW8Num11z3" w:type="character">
    <w:name w:val="WW8Num11z3"/>
    <w:qFormat/>
    <w:rPr>
      <w:rFonts w:ascii="Symbol" w:cs="Symbol" w:hAnsi="Symbol"/>
    </w:rPr>
  </w:style>
  <w:style w:styleId="WW8Num12z0" w:type="character">
    <w:name w:val="WW8Num12z0"/>
    <w:qFormat/>
    <w:rPr>
      <w:rFonts w:ascii="Symbol" w:cs="Symbol" w:hAnsi="Symbol"/>
      <w:color w:val="000000"/>
    </w:rPr>
  </w:style>
  <w:style w:styleId="WW8Num12z1" w:type="character">
    <w:name w:val="WW8Num12z1"/>
    <w:qFormat/>
    <w:rPr>
      <w:rFonts w:ascii="Courier New" w:cs="Courier New" w:hAnsi="Courier New"/>
    </w:rPr>
  </w:style>
  <w:style w:styleId="WW8Num12z2" w:type="character">
    <w:name w:val="WW8Num12z2"/>
    <w:qFormat/>
    <w:rPr>
      <w:rFonts w:ascii="Wingdings" w:cs="Wingdings" w:hAnsi="Wingdings"/>
    </w:rPr>
  </w:style>
  <w:style w:styleId="WW8Num12z3" w:type="character">
    <w:name w:val="WW8Num12z3"/>
    <w:qFormat/>
    <w:rPr>
      <w:rFonts w:ascii="Symbol" w:cs="Symbol" w:hAnsi="Symbol"/>
    </w:rPr>
  </w:style>
  <w:style w:styleId="WW8Num13z0" w:type="character">
    <w:name w:val="WW8Num13z0"/>
    <w:qFormat/>
    <w:rPr>
      <w:rFonts w:ascii="Symbol" w:cs="Symbol" w:hAnsi="Symbol"/>
    </w:rPr>
  </w:style>
  <w:style w:styleId="WW8Num13z1" w:type="character">
    <w:name w:val="WW8Num13z1"/>
    <w:qFormat/>
    <w:rPr>
      <w:rFonts w:ascii="Courier New" w:cs="Courier New" w:hAnsi="Courier New"/>
    </w:rPr>
  </w:style>
  <w:style w:styleId="WW8Num13z2" w:type="character">
    <w:name w:val="WW8Num13z2"/>
    <w:qFormat/>
    <w:rPr>
      <w:rFonts w:ascii="Wingdings" w:cs="Wingdings" w:hAnsi="Wingdings"/>
    </w:rPr>
  </w:style>
  <w:style w:styleId="DefaultParagraphFont" w:type="character">
    <w:name w:val="Default Paragraph Font"/>
    <w:qFormat/>
    <w:rPr/>
  </w:style>
  <w:style w:styleId="Heading1Char" w:type="character">
    <w:name w:val="Heading 1 Char"/>
    <w:qFormat/>
    <w:rPr>
      <w:rFonts w:ascii="Cambria" w:cs="Times New Roman" w:eastAsia="Times New Roman" w:hAnsi="Cambria"/>
      <w:b/>
      <w:bCs/>
      <w:kern w:val="2"/>
      <w:sz w:val="32"/>
      <w:szCs w:val="32"/>
      <w:lang w:val="en-US"/>
    </w:rPr>
  </w:style>
  <w:style w:styleId="Heading2Char" w:type="character">
    <w:name w:val="Heading 2 Char"/>
    <w:qFormat/>
    <w:rPr>
      <w:rFonts w:ascii="Cambria" w:cs="Times New Roman" w:eastAsia="Times New Roman" w:hAnsi="Cambria"/>
      <w:b/>
      <w:bCs/>
      <w:i/>
      <w:iCs/>
      <w:sz w:val="28"/>
      <w:szCs w:val="28"/>
      <w:lang w:val="en-US"/>
    </w:rPr>
  </w:style>
  <w:style w:styleId="BodyTextChar" w:type="character">
    <w:name w:val="Body Text Char"/>
    <w:qFormat/>
    <w:rPr>
      <w:rFonts w:ascii="Arial" w:cs="Times New Roman" w:eastAsia="Times New Roman" w:hAnsi="Arial"/>
      <w:sz w:val="24"/>
      <w:szCs w:val="20"/>
      <w:lang w:val="es-ES"/>
    </w:rPr>
  </w:style>
  <w:style w:styleId="Emphasis" w:type="character">
    <w:name w:val="Emphasis"/>
    <w:qFormat/>
    <w:rPr>
      <w:i/>
      <w:iCs/>
    </w:rPr>
  </w:style>
  <w:style w:styleId="PlainTextChar" w:type="character">
    <w:name w:val="Plain Text Char"/>
    <w:qFormat/>
    <w:rPr>
      <w:rFonts w:ascii="Consolas" w:cs="Consolas" w:eastAsia="Calibri" w:hAnsi="Consolas"/>
      <w:sz w:val="21"/>
      <w:szCs w:val="21"/>
    </w:rPr>
  </w:style>
  <w:style w:styleId="apple-converted-space" w:type="character">
    <w:name w:val="apple-converted-space"/>
    <w:qFormat/>
    <w:rPr/>
  </w:style>
  <w:style w:styleId="hps" w:type="character">
    <w:name w:val="hps"/>
    <w:qFormat/>
    <w:rPr/>
  </w:style>
  <w:style w:styleId="Hyperlink" w:type="character">
    <w:name w:val="Hyperlink"/>
    <w:rPr>
      <w:color w:val="0563C1"/>
      <w:u w:val="single"/>
    </w:rPr>
  </w:style>
  <w:style w:styleId="BalloonTextChar" w:type="character">
    <w:name w:val="Balloon Text Char"/>
    <w:qFormat/>
    <w:rPr>
      <w:rFonts w:ascii="Segoe UI" w:cs="Segoe UI" w:eastAsia="Times New Roman" w:hAnsi="Segoe UI"/>
      <w:sz w:val="18"/>
      <w:szCs w:val="18"/>
      <w:lang w:val="es-ES"/>
    </w:rPr>
  </w:style>
  <w:style w:styleId="HeaderChar" w:type="character">
    <w:name w:val="Header Char"/>
    <w:qFormat/>
    <w:rPr>
      <w:rFonts w:ascii="Times New Roman" w:cs="Times New Roman" w:eastAsia="Times New Roman" w:hAnsi="Times New Roman"/>
      <w:sz w:val="24"/>
      <w:szCs w:val="24"/>
    </w:rPr>
  </w:style>
  <w:style w:styleId="FooterChar" w:type="character">
    <w:name w:val="Footer Char"/>
    <w:qFormat/>
    <w:rPr>
      <w:rFonts w:ascii="Times New Roman" w:cs="Times New Roman" w:eastAsia="Times New Roman" w:hAnsi="Times New Roman"/>
      <w:sz w:val="24"/>
      <w:szCs w:val="24"/>
    </w:rPr>
  </w:style>
  <w:style w:styleId="IntenseQuoteChar" w:type="character">
    <w:name w:val="Intense Quote Char"/>
    <w:qFormat/>
    <w:rPr>
      <w:rFonts w:ascii="Times New Roman" w:cs="Times New Roman" w:eastAsia="Times New Roman" w:hAnsi="Times New Roman"/>
      <w:i/>
      <w:iCs/>
      <w:color w:val="5B9BD5"/>
      <w:sz w:val="24"/>
      <w:szCs w:val="24"/>
      <w:lang w:val="es-ES"/>
    </w:rPr>
  </w:style>
  <w:style w:styleId="TitleChar" w:type="character">
    <w:name w:val="Title Char"/>
    <w:qFormat/>
    <w:rPr>
      <w:rFonts w:ascii="Times New Roman" w:cs="Times New Roman" w:eastAsia="Times New Roman" w:hAnsi="Times New Roman"/>
      <w:b/>
      <w:sz w:val="24"/>
    </w:rPr>
  </w:style>
  <w:style w:styleId="Strong" w:type="character">
    <w:name w:val="Strong"/>
    <w:qFormat/>
    <w:rPr>
      <w:b/>
      <w:bCs/>
    </w:rPr>
  </w:style>
  <w:style w:styleId="Heading" w:type="paragraph">
    <w:name w:val="Heading"/>
    <w:basedOn w:val="Normal"/>
    <w:next w:val="BodyText"/>
    <w:qFormat/>
    <w:pPr>
      <w:jc w:val="center"/>
    </w:pPr>
    <w:rPr>
      <w:b/>
      <w:szCs w:val="20"/>
      <w:lang w:val="en-US"/>
    </w:rPr>
  </w:style>
  <w:style w:styleId="BodyText" w:type="paragraph">
    <w:name w:val="Body Text"/>
    <w:basedOn w:val="Normal"/>
    <w:pPr>
      <w:spacing w:line="360" w:lineRule="auto"/>
    </w:pPr>
    <w:rPr>
      <w:rFonts w:ascii="Arial" w:cs="Arial" w:hAnsi="Arial"/>
      <w:szCs w:val="20"/>
    </w:rPr>
  </w:style>
  <w:style w:styleId="List" w:type="paragraph">
    <w:name w:val="List"/>
    <w:basedOn w:val="BodyText"/>
    <w:pPr/>
    <w:rPr>
      <w:rFonts w:cs="FreeSans"/>
    </w:rPr>
  </w:style>
  <w:style w:styleId="Caption" w:type="paragraph">
    <w:name w:val="Caption"/>
    <w:basedOn w:val="Normal"/>
    <w:qFormat/>
    <w:pPr>
      <w:suppressLineNumbers/>
      <w:spacing w:after="120" w:before="120"/>
    </w:pPr>
    <w:rPr>
      <w:rFonts w:cs="FreeSans"/>
      <w:i/>
      <w:iCs/>
      <w:sz w:val="24"/>
      <w:szCs w:val="24"/>
    </w:rPr>
  </w:style>
  <w:style w:styleId="Index" w:type="paragraph">
    <w:name w:val="Index"/>
    <w:basedOn w:val="Normal"/>
    <w:qFormat/>
    <w:pPr>
      <w:suppressLineNumbers/>
    </w:pPr>
    <w:rPr>
      <w:rFonts w:cs="FreeSans"/>
    </w:rPr>
  </w:style>
  <w:style w:styleId="style13" w:type="paragraph">
    <w:name w:val="style13"/>
    <w:basedOn w:val="Normal"/>
    <w:qFormat/>
    <w:pPr>
      <w:spacing w:after="280" w:before="280"/>
    </w:pPr>
    <w:rPr>
      <w:sz w:val="20"/>
      <w:szCs w:val="20"/>
      <w:lang w:val="ru-RU"/>
    </w:rPr>
  </w:style>
  <w:style w:styleId="PlainText" w:type="paragraph">
    <w:name w:val="Plain Text"/>
    <w:basedOn w:val="Normal"/>
    <w:qFormat/>
    <w:pPr/>
    <w:rPr>
      <w:rFonts w:ascii="Consolas" w:cs="Consolas" w:eastAsia="Calibri" w:hAnsi="Consolas"/>
      <w:sz w:val="21"/>
      <w:szCs w:val="21"/>
      <w:lang w:val="ru-RU"/>
    </w:rPr>
  </w:style>
  <w:style w:styleId="BalloonText" w:type="paragraph">
    <w:name w:val="Balloon Text"/>
    <w:basedOn w:val="Normal"/>
    <w:qFormat/>
    <w:pPr/>
    <w:rPr>
      <w:rFonts w:ascii="Segoe UI" w:cs="Segoe UI" w:hAnsi="Segoe UI"/>
      <w:sz w:val="18"/>
      <w:szCs w:val="18"/>
    </w:rPr>
  </w:style>
  <w:style w:styleId="HeaderandFooter" w:type="paragraph">
    <w:name w:val="Header and Footer"/>
    <w:basedOn w:val="Normal"/>
    <w:qFormat/>
    <w:pPr>
      <w:suppressLineNumbers/>
      <w:tabs>
        <w:tab w:pos="708" w:val="clear"/>
        <w:tab w:leader="none" w:pos="4819" w:val="center"/>
        <w:tab w:leader="none" w:pos="9638" w:val="right"/>
      </w:tabs>
    </w:pPr>
    <w:rPr/>
  </w:style>
  <w:style w:styleId="Header" w:type="paragraph">
    <w:name w:val="Header"/>
    <w:basedOn w:val="Normal"/>
    <w:pPr>
      <w:tabs>
        <w:tab w:pos="708" w:val="clear"/>
        <w:tab w:leader="none" w:pos="4252" w:val="center"/>
        <w:tab w:leader="none" w:pos="8504" w:val="right"/>
      </w:tabs>
    </w:pPr>
    <w:rPr/>
  </w:style>
  <w:style w:styleId="Footer" w:type="paragraph">
    <w:name w:val="Footer"/>
    <w:basedOn w:val="Normal"/>
    <w:pPr>
      <w:tabs>
        <w:tab w:pos="708" w:val="clear"/>
        <w:tab w:leader="none" w:pos="4252" w:val="center"/>
        <w:tab w:leader="none" w:pos="8504" w:val="right"/>
      </w:tabs>
    </w:pPr>
    <w:rPr/>
  </w:style>
  <w:style w:styleId="IntenseQuote" w:type="paragraph">
    <w:name w:val="Intense Quote"/>
    <w:basedOn w:val="Normal"/>
    <w:next w:val="Normal"/>
    <w:qFormat/>
    <w:pPr>
      <w:pBdr>
        <w:top w:color="5B9BD5" w:space="10" w:sz="4" w:val="single"/>
        <w:bottom w:color="5B9BD5" w:space="10" w:sz="4" w:val="single"/>
      </w:pBdr>
      <w:spacing w:after="360" w:before="360"/>
      <w:ind w:end="864" w:hanging="0" w:start="864"/>
      <w:jc w:val="center"/>
    </w:pPr>
    <w:rPr>
      <w:i/>
      <w:iCs/>
      <w:color w:val="5B9BD5"/>
    </w:rPr>
  </w:style>
  <w:style w:styleId="ListParagraph" w:type="paragraph">
    <w:name w:val="List Paragraph"/>
    <w:basedOn w:val="Normal"/>
    <w:qFormat/>
    <w:pPr>
      <w:ind w:end="0" w:hanging="0" w:start="720"/>
    </w:pPr>
    <w:rPr/>
  </w:style>
  <w:style w:styleId="Default" w:type="paragraph">
    <w:name w:val="Default"/>
    <w:qFormat/>
    <w:pPr>
      <w:widowControl/>
      <w:autoSpaceDE w:val="false"/>
      <w:bidi w:val="0"/>
    </w:pPr>
    <w:rPr>
      <w:rFonts w:ascii="Arial" w:cs="Arial" w:eastAsia="Calibri" w:hAnsi="Arial"/>
      <w:color w:val="000000"/>
      <w:sz w:val="24"/>
      <w:szCs w:val="24"/>
      <w:lang w:bidi="ar-SA" w:eastAsia="zh-CN" w:val="en-US"/>
    </w:rPr>
  </w:style>
  <w:style w:styleId="NoSpacing" w:type="paragraph">
    <w:name w:val="No Spacing"/>
    <w:qFormat/>
    <w:pPr>
      <w:widowControl/>
      <w:bidi w:val="0"/>
    </w:pPr>
    <w:rPr>
      <w:rFonts w:ascii="Calibri" w:cs="Times New Roman" w:eastAsia="Times New Roman" w:hAnsi="Calibri"/>
      <w:color w:val="auto"/>
      <w:sz w:val="22"/>
      <w:szCs w:val="22"/>
      <w:lang w:bidi="ar-SA" w:eastAsia="zh-CN" w:val="en-US"/>
    </w:rPr>
  </w:style>
  <w:style w:styleId="TableContents" w:type="paragraph">
    <w:name w:val="Table Contents"/>
    <w:basedOn w:val="Normal"/>
    <w:qFormat/>
    <w:pPr>
      <w:widowControl w:val="false"/>
      <w:suppressLineNumbers/>
    </w:pPr>
    <w:rPr/>
  </w:style>
  <w:style w:styleId="TableHeading" w:type="paragraph">
    <w:name w:val="Table Heading"/>
    <w:basedOn w:val="TableContents"/>
    <w:qFormat/>
    <w:pPr>
      <w:suppressLineNumbers/>
      <w:jc w:val="center"/>
    </w:pPr>
    <w:rPr>
      <w:b/>
      <w:bCs/>
    </w:rPr>
  </w:style>
  <w:style w:styleId="FrameContents" w:type="paragraph">
    <w:name w:val="Frame Contents"/>
    <w:basedOn w:val="Normal"/>
    <w:qFormat/>
    <w:pPr/>
    <w:rPr/>
  </w:style>
  <w:style w:styleId="WW8Num1" w:type="numbering">
    <w:name w:val="WW8Num1"/>
    <w:qFormat/>
  </w:style>
  <w:style w:styleId="WW8Num2" w:type="numbering">
    <w:name w:val="WW8Num2"/>
    <w:qFormat/>
  </w:style>
  <w:style w:styleId="WW8Num3" w:type="numbering">
    <w:name w:val="WW8Num3"/>
    <w:qFormat/>
  </w:style>
  <w:style w:styleId="WW8Num4" w:type="numbering">
    <w:name w:val="WW8Num4"/>
    <w:qFormat/>
  </w:style>
  <w:style w:styleId="WW8Num5" w:type="numbering">
    <w:name w:val="WW8Num5"/>
    <w:qFormat/>
  </w:style>
  <w:style w:styleId="WW8Num6" w:type="numbering">
    <w:name w:val="WW8Num6"/>
    <w:qFormat/>
  </w:style>
  <w:style w:styleId="WW8Num7" w:type="numbering">
    <w:name w:val="WW8Num7"/>
    <w:qFormat/>
  </w:style>
  <w:style w:styleId="WW8Num8" w:type="numbering">
    <w:name w:val="WW8Num8"/>
    <w:qFormat/>
  </w:style>
  <w:style w:styleId="WW8Num9" w:type="numbering">
    <w:name w:val="WW8Num9"/>
    <w:qFormat/>
  </w:style>
  <w:style w:styleId="WW8Num10" w:type="numbering">
    <w:name w:val="WW8Num10"/>
    <w:qFormat/>
  </w:style>
  <w:style w:styleId="WW8Num11" w:type="numbering">
    <w:name w:val="WW8Num11"/>
    <w:qFormat/>
  </w:style>
  <w:style w:styleId="WW8Num12" w:type="numbering">
    <w:name w:val="WW8Num12"/>
    <w:qFormat/>
  </w:style>
  <w:style w:styleId="WW8Num13" w:type="numbering">
    <w:name w:val="WW8Num13"/>
    <w:qFormat/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header2.xml" Type="http://schemas.openxmlformats.org/officeDocument/2006/relationships/header" /><Relationship Id="rId11" Target="header3.xml" Type="http://schemas.openxmlformats.org/officeDocument/2006/relationships/header" /><Relationship Id="rId12" Target="footer1.xml" Type="http://schemas.openxmlformats.org/officeDocument/2006/relationships/footer" /><Relationship Id="rId13" Target="footer2.xml" Type="http://schemas.openxmlformats.org/officeDocument/2006/relationships/footer" /><Relationship Id="rId14" Target="footer3.xml" Type="http://schemas.openxmlformats.org/officeDocument/2006/relationships/footer" /><Relationship Type="http://schemas.openxmlformats.org/officeDocument/2006/relationships/image" Id="rId20" Target="media/rId20.jpg" /><Relationship Type="http://schemas.openxmlformats.org/officeDocument/2006/relationships/hyperlink" Id="rId23" Target="https://en.m.wikipedia.org/wiki/Scriptorium" TargetMode="External" />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mailto:info@nuevavista.am" TargetMode="External"/><Relationship Id="rId2" Type="http://schemas.openxmlformats.org/officeDocument/2006/relationships/hyperlink" Target="http://www.explorearmenia.net/" TargetMode="Externa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mailto:info@nuevavista.am" TargetMode="External"/><Relationship Id="rId2" Type="http://schemas.openxmlformats.org/officeDocument/2006/relationships/hyperlink" Target="http://www.explorearmenia.net/" TargetMode="External"/>
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s://en.m.wikipedia.org/wiki/Scriptorium" TargetMode="External" 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jpeg"/><Relationship Id="rId3" Type="http://schemas.openxmlformats.org/officeDocument/2006/relationships/image" Target="media/image4.png"/><Relationship Id="rId4" Type="http://schemas.openxmlformats.org/officeDocument/2006/relationships/image" Target="media/image5.jpeg"/><Relationship Id="rId5" Type="http://schemas.openxmlformats.org/officeDocument/2006/relationships/hyperlink" Target="https://www.facebook.com/whisperarmenia/photos/a.100866188199841/101719994781127/?type=3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6.jpeg"/><Relationship Id="rId2" Type="http://schemas.openxmlformats.org/officeDocument/2006/relationships/image" Target="media/image4.png"/><Relationship Id="rId3" Type="http://schemas.openxmlformats.org/officeDocument/2006/relationships/image" Target="media/image5.jpeg"/><Relationship Id="rId4" Type="http://schemas.openxmlformats.org/officeDocument/2006/relationships/hyperlink" Target="https://www.facebook.com/whisperarmenia/photos/a.100866188199841/101719994781127/?type=3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2026-07-02T20:31:02Z</dcterms:created>
  <dcterms:modified xsi:type="dcterms:W3CDTF">2026-07-02T20:31:02Z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