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rId20.jpg" ContentType="image/jpeg"/>
  <Override PartName="/word/media/image2.jpeg" ContentType="image/jpeg"/>
  <Override PartName="/word/media/image1.jpe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Os reflexos da Armênia</w:t>
      </w:r>
    </w:p>
    <w:p>
      <w:pPr>
        <w:pStyle w:val="BodyText"/>
      </w:pPr>
      <w:r>
        <w:drawing>
          <wp:inline>
            <wp:extent cx="5227320" cy="36563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media/image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656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7 Dias / 6 Noites para 2026</w:t>
      </w:r>
    </w:p>
    <w:p>
      <w:pPr>
        <w:pStyle w:val="BodyText"/>
      </w:pPr>
      <w:r>
        <w:rPr>
          <w:u w:val="single"/>
          <w:bCs/>
          <w:b/>
        </w:rPr>
        <w:t xml:space="preserve">Saídas diárias</w:t>
      </w:r>
    </w:p>
    <w:p>
      <w:pPr>
        <w:pStyle w:val="BodyText"/>
      </w:pPr>
      <w:r>
        <w:rPr>
          <w:bCs/>
          <w:b/>
        </w:rPr>
        <w:t xml:space="preserve">Itinerário</w:t>
      </w:r>
    </w:p>
    <w:p>
      <w:pPr>
        <w:pStyle w:val="BodyText"/>
      </w:pPr>
      <w:r>
        <w:rPr>
          <w:u w:val="single"/>
          <w:bCs/>
          <w:b/>
        </w:rPr>
        <w:t xml:space="preserve">Dia 1 Erevã</w:t>
      </w:r>
    </w:p>
    <w:p>
      <w:pPr>
        <w:pStyle w:val="BodyText"/>
      </w:pPr>
      <w:r>
        <w:t xml:space="preserve">Chegada ao aeroporto Zvartnots. Chegada à capital da Armênia,</w:t>
      </w:r>
      <w:r>
        <w:t xml:space="preserve"> </w:t>
      </w:r>
      <w:r>
        <w:t xml:space="preserve">Erevã. Traslado ao hotel. Tempo para descansar.</w:t>
      </w:r>
    </w:p>
    <w:p>
      <w:pPr>
        <w:pStyle w:val="BodyText"/>
      </w:pPr>
      <w:r>
        <w:rPr>
          <w:u w:val="single"/>
          <w:bCs/>
          <w:b/>
        </w:rPr>
        <w:t xml:space="preserve">Dia 2 Erevã (D/-/-)</w:t>
      </w:r>
    </w:p>
    <w:p>
      <w:pPr>
        <w:pStyle w:val="BodyText"/>
      </w:pPr>
      <w:r>
        <w:t xml:space="preserve">Café da manhã no hotel. Visita panorâmica da cidade, subindo ao</w:t>
      </w:r>
      <w:r>
        <w:t xml:space="preserve"> </w:t>
      </w:r>
      <w:r>
        <w:t xml:space="preserve">monumento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Cascata</w:t>
      </w:r>
      <w:r>
        <w:rPr>
          <w:bCs/>
          <w:b/>
        </w:rPr>
        <w:t xml:space="preserve">”</w:t>
      </w:r>
      <w:r>
        <w:t xml:space="preserve">, de onde apreciaremos a bela</w:t>
      </w:r>
      <w:r>
        <w:t xml:space="preserve"> </w:t>
      </w:r>
      <w:r>
        <w:t xml:space="preserve">vista panorâmica da cidade; em seguida, seguiremos para o</w:t>
      </w:r>
      <w:r>
        <w:t xml:space="preserve"> </w:t>
      </w:r>
      <w:r>
        <w:rPr>
          <w:bCs/>
          <w:b/>
        </w:rPr>
        <w:t xml:space="preserve">Matenadaran</w:t>
      </w:r>
      <w:r>
        <w:t xml:space="preserve"> </w:t>
      </w:r>
      <w:r>
        <w:t xml:space="preserve">(Museu de Manuscritos Antigos), que reúne 14.000 manuscritos</w:t>
      </w:r>
      <w:r>
        <w:t xml:space="preserve"> </w:t>
      </w:r>
      <w:r>
        <w:t xml:space="preserve">antigos. Continuaremos nossa visita a pé pelo centro da cidade, pelo</w:t>
      </w:r>
      <w:r>
        <w:t xml:space="preserve"> </w:t>
      </w:r>
      <w:r>
        <w:t xml:space="preserve">parque da cidade, a rua Abovyan, a Praça da República,</w:t>
      </w:r>
      <w:r>
        <w:t xml:space="preserve"> </w:t>
      </w:r>
      <w:r>
        <w:t xml:space="preserve">o mercado de alimentos, a Mesquita Azul. Visita ao</w:t>
      </w:r>
      <w:r>
        <w:t xml:space="preserve"> </w:t>
      </w:r>
      <w:r>
        <w:rPr>
          <w:bCs/>
          <w:b/>
        </w:rPr>
        <w:t xml:space="preserve">Tsitsernakaberd – monumento</w:t>
      </w:r>
      <w:r>
        <w:rPr>
          <w:bCs/>
          <w:b/>
        </w:rPr>
        <w:t xml:space="preserve"> </w:t>
      </w:r>
      <w:r>
        <w:rPr>
          <w:bCs/>
          <w:b/>
        </w:rPr>
        <w:t xml:space="preserve">e museu do Genocídio</w:t>
      </w:r>
      <w:r>
        <w:t xml:space="preserve"> </w:t>
      </w:r>
      <w:r>
        <w:t xml:space="preserve">dos armênios de 1915.</w:t>
      </w:r>
      <w:r>
        <w:t xml:space="preserve"> </w:t>
      </w:r>
      <w:r>
        <w:rPr>
          <w:bCs/>
          <w:b/>
        </w:rPr>
        <w:t xml:space="preserve">Tarde livre.</w:t>
      </w:r>
      <w:r>
        <w:t xml:space="preserve"> </w:t>
      </w:r>
      <w:r>
        <w:t xml:space="preserve">Hospedagem no hotel.</w:t>
      </w:r>
    </w:p>
    <w:p>
      <w:pPr>
        <w:pStyle w:val="BodyText"/>
      </w:pPr>
      <w:r>
        <w:rPr>
          <w:u w:val="single"/>
          <w:bCs/>
          <w:b/>
        </w:rPr>
        <w:t xml:space="preserve">Dia 3 Erevã / Echmiadzin / Templo de Zvartnots (D/-/-)</w:t>
      </w:r>
    </w:p>
    <w:p>
      <w:pPr>
        <w:pStyle w:val="BodyText"/>
      </w:pPr>
      <w:r>
        <w:t xml:space="preserve">Café da manhã no hotel. Saída rumo a</w:t>
      </w:r>
      <w:r>
        <w:t xml:space="preserve"> </w:t>
      </w:r>
      <w:r>
        <w:rPr>
          <w:bCs/>
          <w:b/>
        </w:rPr>
        <w:t xml:space="preserve">Echmiadzin</w:t>
      </w:r>
      <w:r>
        <w:t xml:space="preserve">, onde visitaremos a</w:t>
      </w:r>
      <w:r>
        <w:t xml:space="preserve"> </w:t>
      </w:r>
      <w:r>
        <w:t xml:space="preserve">catedral (ano 303 d.C., Patrimônio Mundial da UNESCO), a primeira Igreja</w:t>
      </w:r>
      <w:r>
        <w:t xml:space="preserve"> </w:t>
      </w:r>
      <w:r>
        <w:t xml:space="preserve">Cristã do mundo, e o</w:t>
      </w:r>
      <w:r>
        <w:t xml:space="preserve"> </w:t>
      </w:r>
      <w:r>
        <w:rPr>
          <w:bCs/>
          <w:b/>
        </w:rPr>
        <w:t xml:space="preserve">Museu do Tesouro</w:t>
      </w:r>
      <w:r>
        <w:t xml:space="preserve">, além da igreja de Santa</w:t>
      </w:r>
      <w:r>
        <w:t xml:space="preserve"> </w:t>
      </w:r>
      <w:r>
        <w:t xml:space="preserve">Hripsime (618 d.C.). No caminho, visitaremos o</w:t>
      </w:r>
      <w:r>
        <w:t xml:space="preserve"> </w:t>
      </w:r>
      <w:r>
        <w:rPr>
          <w:bCs/>
          <w:b/>
        </w:rPr>
        <w:t xml:space="preserve">Templo de Zvartnots</w:t>
      </w:r>
      <w:r>
        <w:t xml:space="preserve"> </w:t>
      </w:r>
      <w:r>
        <w:t xml:space="preserve">(século</w:t>
      </w:r>
      <w:r>
        <w:t xml:space="preserve"> </w:t>
      </w:r>
      <w:r>
        <w:t xml:space="preserve">VII, Patrimônio Mundial da UNESCO). Retorno a Erevã.</w:t>
      </w:r>
      <w:r>
        <w:t xml:space="preserve"> </w:t>
      </w:r>
      <w:r>
        <w:rPr>
          <w:bCs/>
          <w:b/>
        </w:rPr>
        <w:t xml:space="preserve">Museu de</w:t>
      </w:r>
      <w:r>
        <w:rPr>
          <w:bCs/>
          <w:b/>
        </w:rPr>
        <w:t xml:space="preserve"> </w:t>
      </w:r>
      <w:r>
        <w:rPr>
          <w:bCs/>
          <w:b/>
        </w:rPr>
        <w:t xml:space="preserve">História.</w:t>
      </w:r>
      <w:r>
        <w:t xml:space="preserve"> </w:t>
      </w:r>
      <w:r>
        <w:t xml:space="preserve">Vernissage. Hospedagem no hotel.</w:t>
      </w:r>
    </w:p>
    <w:p>
      <w:pPr>
        <w:pStyle w:val="BodyText"/>
      </w:pPr>
      <w:r>
        <w:rPr>
          <w:u w:val="single"/>
          <w:bCs/>
          <w:b/>
        </w:rPr>
        <w:t xml:space="preserve">Dia 4 Erevã / Khor Virap / Erevã (D/-/-)</w:t>
      </w:r>
    </w:p>
    <w:p>
      <w:pPr>
        <w:pStyle w:val="BodyText"/>
      </w:pPr>
      <w:r>
        <w:t xml:space="preserve">Café da manhã no hotel. Visita ao</w:t>
      </w:r>
      <w:r>
        <w:t xml:space="preserve"> </w:t>
      </w:r>
      <w:r>
        <w:rPr>
          <w:bCs/>
          <w:b/>
        </w:rPr>
        <w:t xml:space="preserve">Mosteiro de Khor Virap</w:t>
      </w:r>
      <w:r>
        <w:t xml:space="preserve"> </w:t>
      </w:r>
      <w:r>
        <w:t xml:space="preserve">(século</w:t>
      </w:r>
      <w:r>
        <w:t xml:space="preserve"> </w:t>
      </w:r>
      <w:r>
        <w:t xml:space="preserve">IV). No caminho, apreciaremos uma vista panorâmica magnífica do Monte</w:t>
      </w:r>
      <w:r>
        <w:t xml:space="preserve"> </w:t>
      </w:r>
      <w:r>
        <w:t xml:space="preserve">Ararat, onde, segundo a Bíblia, a Arca de Noé ficou encalhada após o</w:t>
      </w:r>
      <w:r>
        <w:t xml:space="preserve"> </w:t>
      </w:r>
      <w:r>
        <w:t xml:space="preserve">Dilúvio Universal. Embora o Monte Ararat esteja na Turquia, as melhores</w:t>
      </w:r>
      <w:r>
        <w:t xml:space="preserve"> </w:t>
      </w:r>
      <w:r>
        <w:t xml:space="preserve">vistas dele são a partir da Armênia. Retorno a Erevã. Tempo livre para</w:t>
      </w:r>
      <w:r>
        <w:t xml:space="preserve"> </w:t>
      </w:r>
      <w:r>
        <w:t xml:space="preserve">aproveitar a capital. Hospedagem no hotel.</w:t>
      </w:r>
    </w:p>
    <w:p>
      <w:pPr>
        <w:pStyle w:val="BodyText"/>
      </w:pPr>
      <w:r>
        <w:rPr>
          <w:u w:val="single"/>
          <w:bCs/>
          <w:b/>
        </w:rPr>
        <w:t xml:space="preserve">Dia 5 Erevã / Saghmosavank / Parque das Letras / Ashtarak / Igreja</w:t>
      </w:r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Karmravor / Erevã (D/-/-)</w:t>
      </w:r>
    </w:p>
    <w:p>
      <w:pPr>
        <w:pStyle w:val="BodyText"/>
      </w:pPr>
      <w:r>
        <w:rPr>
          <w:bCs/>
          <w:b/>
        </w:rPr>
        <w:t xml:space="preserve">Café da manhã no hotel.</w:t>
      </w:r>
      <w:r>
        <w:t xml:space="preserve"> </w:t>
      </w:r>
      <w:r>
        <w:t xml:space="preserve">Excursão ao mosteiro medieval de</w:t>
      </w:r>
      <w:r>
        <w:t xml:space="preserve"> </w:t>
      </w:r>
      <w:r>
        <w:rPr>
          <w:bCs/>
          <w:b/>
        </w:rPr>
        <w:t xml:space="preserve">Saghmosavank</w:t>
      </w:r>
      <w:r>
        <w:t xml:space="preserve">, situado em um local impressionante, no profundo</w:t>
      </w:r>
      <w:r>
        <w:t xml:space="preserve"> </w:t>
      </w:r>
      <w:r>
        <w:t xml:space="preserve">cânion de</w:t>
      </w:r>
      <w:r>
        <w:t xml:space="preserve"> </w:t>
      </w:r>
      <w:r>
        <w:rPr>
          <w:bCs/>
          <w:b/>
        </w:rPr>
        <w:t xml:space="preserve">Ashtarak.</w:t>
      </w:r>
      <w:r>
        <w:t xml:space="preserve"> </w:t>
      </w:r>
      <w:r>
        <w:t xml:space="preserve">Continuamos</w:t>
      </w:r>
      <w:r>
        <w:t xml:space="preserve"> </w:t>
      </w:r>
      <w:r>
        <w:rPr>
          <w:bCs/>
          <w:b/>
        </w:rPr>
        <w:t xml:space="preserve">ao Parque das Letras</w:t>
      </w:r>
      <w:r>
        <w:t xml:space="preserve"> </w:t>
      </w:r>
      <w:r>
        <w:t xml:space="preserve">para conhecer</w:t>
      </w:r>
      <w:r>
        <w:t xml:space="preserve"> </w:t>
      </w:r>
      <w:r>
        <w:t xml:space="preserve">o alfabeto único criado no século V. Retorno a Erevã. Visitamos a</w:t>
      </w:r>
      <w:r>
        <w:t xml:space="preserve"> </w:t>
      </w:r>
      <w:r>
        <w:t xml:space="preserve">menor igreja da Armênia,</w:t>
      </w:r>
      <w:r>
        <w:t xml:space="preserve"> </w:t>
      </w:r>
      <w:r>
        <w:rPr>
          <w:bCs/>
          <w:b/>
        </w:rPr>
        <w:t xml:space="preserve">Karmravor</w:t>
      </w:r>
      <w:r>
        <w:t xml:space="preserve">; não se conhece a data de</w:t>
      </w:r>
      <w:r>
        <w:t xml:space="preserve"> </w:t>
      </w:r>
      <w:r>
        <w:t xml:space="preserve">sua fundação, mas os especialistas acreditam que seja do século VII d.C. A</w:t>
      </w:r>
      <w:r>
        <w:t xml:space="preserve"> </w:t>
      </w:r>
      <w:r>
        <w:t xml:space="preserve">igreja não sofreu grandes transformações ao longo dos séculos,</w:t>
      </w:r>
      <w:r>
        <w:t xml:space="preserve"> </w:t>
      </w:r>
      <w:r>
        <w:t xml:space="preserve">conservando até parte da cobertura original. Retorno a</w:t>
      </w:r>
      <w:r>
        <w:t xml:space="preserve"> </w:t>
      </w:r>
      <w:r>
        <w:rPr>
          <w:bCs/>
          <w:b/>
        </w:rPr>
        <w:t xml:space="preserve">Erevã.</w:t>
      </w:r>
      <w:r>
        <w:t xml:space="preserve"> </w:t>
      </w:r>
      <w:r>
        <w:t xml:space="preserve">Hospedagem no hotel.</w:t>
      </w:r>
    </w:p>
    <w:p>
      <w:pPr>
        <w:pStyle w:val="BodyText"/>
      </w:pPr>
      <w:r>
        <w:rPr>
          <w:highlight w:val="yellow"/>
          <w:iCs/>
          <w:i/>
          <w:bCs/>
          <w:b/>
        </w:rPr>
        <w:t xml:space="preserve">****Opcional: O programa de atividades deste dia pode ser</w:t>
      </w:r>
      <w:r>
        <w:rPr>
          <w:highlight w:val="yellow"/>
          <w:iCs/>
          <w:i/>
          <w:bCs/>
          <w:b/>
        </w:rPr>
        <w:t xml:space="preserve"> </w:t>
      </w:r>
      <w:r>
        <w:rPr>
          <w:highlight w:val="yellow"/>
          <w:iCs/>
          <w:i/>
          <w:bCs/>
          <w:b/>
        </w:rPr>
        <w:t xml:space="preserve">substituído por uma excursão ao lago Sevan (2000 m de altitude), à</w:t>
      </w:r>
      <w:r>
        <w:rPr>
          <w:highlight w:val="yellow"/>
          <w:iCs/>
          <w:i/>
          <w:bCs/>
          <w:b/>
        </w:rPr>
        <w:t xml:space="preserve"> </w:t>
      </w:r>
      <w:r>
        <w:rPr>
          <w:highlight w:val="yellow"/>
          <w:iCs/>
          <w:i/>
          <w:bCs/>
          <w:b/>
        </w:rPr>
        <w:t xml:space="preserve">península de Sevan e visita ao mosteiro Sevanavank. Custo adicional: 65 Euros</w:t>
      </w:r>
      <w:r>
        <w:rPr>
          <w:highlight w:val="yellow"/>
          <w:iCs/>
          <w:i/>
          <w:bCs/>
          <w:b/>
        </w:rPr>
        <w:t xml:space="preserve"> </w:t>
      </w:r>
      <w:r>
        <w:rPr>
          <w:highlight w:val="yellow"/>
          <w:iCs/>
          <w:i/>
          <w:bCs/>
          <w:b/>
        </w:rPr>
        <w:t xml:space="preserve">por pessoa</w:t>
      </w:r>
    </w:p>
    <w:p>
      <w:pPr>
        <w:pStyle w:val="BodyText"/>
      </w:pPr>
      <w:r>
        <w:rPr>
          <w:u w:val="single"/>
          <w:bCs/>
          <w:b/>
        </w:rPr>
        <w:t xml:space="preserve">Dia 6 Erevã / Geghard / Garni / Erevã (D/-/-)</w:t>
      </w:r>
    </w:p>
    <w:p>
      <w:pPr>
        <w:pStyle w:val="BodyText"/>
      </w:pPr>
      <w:r>
        <w:t xml:space="preserve">Café da manhã no hotel. Visitaremos o templo</w:t>
      </w:r>
      <w:r>
        <w:t xml:space="preserve"> </w:t>
      </w:r>
      <w:r>
        <w:rPr>
          <w:bCs/>
          <w:b/>
        </w:rPr>
        <w:t xml:space="preserve">pagão de Garni</w:t>
      </w:r>
      <w:r>
        <w:t xml:space="preserve"> </w:t>
      </w:r>
      <w:r>
        <w:t xml:space="preserve">(século</w:t>
      </w:r>
      <w:r>
        <w:t xml:space="preserve"> </w:t>
      </w:r>
      <w:r>
        <w:t xml:space="preserve">III a.C. – Patrimônio Mundial da UNESCO), onde se destacam seus banhos</w:t>
      </w:r>
      <w:r>
        <w:t xml:space="preserve"> </w:t>
      </w:r>
      <w:r>
        <w:t xml:space="preserve">romanos por seus mosaicos. Concerto de</w:t>
      </w:r>
      <w:r>
        <w:t xml:space="preserve"> </w:t>
      </w:r>
      <w:r>
        <w:rPr>
          <w:u w:val="single"/>
          <w:bCs/>
          <w:b/>
        </w:rPr>
        <w:t xml:space="preserve">DUDUK</w:t>
      </w:r>
      <w:r>
        <w:t xml:space="preserve"> </w:t>
      </w:r>
      <w:r>
        <w:t xml:space="preserve">em Garni.</w:t>
      </w:r>
      <w:r>
        <w:t xml:space="preserve"> </w:t>
      </w:r>
      <w:r>
        <w:t xml:space="preserve">Visita ao Templo de</w:t>
      </w:r>
      <w:r>
        <w:t xml:space="preserve"> </w:t>
      </w:r>
      <w:r>
        <w:rPr>
          <w:bCs/>
          <w:b/>
        </w:rPr>
        <w:t xml:space="preserve">Geghard</w:t>
      </w:r>
      <w:r>
        <w:t xml:space="preserve"> </w:t>
      </w:r>
      <w:r>
        <w:t xml:space="preserve">(século VII, Patrimônio Mundial da</w:t>
      </w:r>
      <w:r>
        <w:t xml:space="preserve"> </w:t>
      </w:r>
      <w:r>
        <w:t xml:space="preserve">UNESCO), parcialmente escavado na rocha. Visita a uma casa</w:t>
      </w:r>
      <w:r>
        <w:t xml:space="preserve"> </w:t>
      </w:r>
      <w:r>
        <w:t xml:space="preserve">particular para</w:t>
      </w:r>
      <w:r>
        <w:t xml:space="preserve"> </w:t>
      </w:r>
      <w:r>
        <w:rPr>
          <w:bCs/>
          <w:b/>
        </w:rPr>
        <w:t xml:space="preserve">ver o processo de fabricação do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Lavash</w:t>
      </w:r>
      <w:r>
        <w:rPr>
          <w:bCs/>
          <w:b/>
        </w:rPr>
        <w:t xml:space="preserve">”</w:t>
      </w:r>
      <w:r>
        <w:t xml:space="preserve"> </w:t>
      </w:r>
      <w:r>
        <w:t xml:space="preserve">(pão</w:t>
      </w:r>
      <w:r>
        <w:t xml:space="preserve"> </w:t>
      </w:r>
      <w:r>
        <w:t xml:space="preserve">tradicional armênio, patrimônio cultural imaterial da UNESCO).</w:t>
      </w:r>
      <w:r>
        <w:t xml:space="preserve"> </w:t>
      </w:r>
      <w:r>
        <w:t xml:space="preserve">Retorno a Erevã. Tempo livre. Hospedagem no hotel selecionado em</w:t>
      </w:r>
      <w:r>
        <w:t xml:space="preserve"> </w:t>
      </w:r>
      <w:r>
        <w:rPr>
          <w:bCs/>
          <w:b/>
        </w:rPr>
        <w:t xml:space="preserve">Erevã.</w:t>
      </w:r>
    </w:p>
    <w:p>
      <w:pPr>
        <w:pStyle w:val="BodyText"/>
      </w:pPr>
      <w:r>
        <w:rPr>
          <w:u w:val="single"/>
          <w:bCs/>
          <w:b/>
        </w:rPr>
        <w:t xml:space="preserve">Dia 7 Erevã (D/-/-)</w:t>
      </w:r>
    </w:p>
    <w:p>
      <w:pPr>
        <w:pStyle w:val="BodyText"/>
      </w:pPr>
      <w:r>
        <w:t xml:space="preserve">Traslado ao aeroporto para embarque no voo de retorno.</w:t>
      </w:r>
    </w:p>
    <w:p>
      <w:pPr>
        <w:pStyle w:val="BodyText"/>
      </w:pPr>
      <w:r>
        <w:rPr>
          <w:u w:val="single"/>
          <w:highlight w:val="yellow"/>
          <w:bCs/>
          <w:b/>
        </w:rPr>
        <w:t xml:space="preserve">O preço do pacote em US$ para o ano de 2026 (Válido de março a</w:t>
      </w:r>
      <w:r>
        <w:rPr>
          <w:u w:val="single"/>
          <w:highlight w:val="yellow"/>
          <w:bCs/>
          <w:b/>
        </w:rPr>
        <w:t xml:space="preserve"> </w:t>
      </w:r>
      <w:r>
        <w:rPr>
          <w:u w:val="single"/>
          <w:highlight w:val="yellow"/>
          <w:bCs/>
          <w:b/>
        </w:rPr>
        <w:t xml:space="preserve">outubro)</w:t>
      </w:r>
    </w:p>
    <w:p>
      <w:pPr>
        <w:pStyle w:val="BodyText"/>
      </w:pPr>
      <w:r>
        <w:rPr>
          <w:u w:val="single"/>
          <w:bCs/>
          <w:b/>
        </w:rPr>
        <w:t xml:space="preserve">Preços líquidos por pessoa / Mínimo de 2 pessoas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Quarto Duplo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Triplo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Single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Ani Central Inna, Hotel Shirak ou similar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1050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Quarto Duplo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Triplo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Single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Imperia, Royal Plaza ou Fellinguer (hotel central 4*)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1080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Quarto Duplo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Triplo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Single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Ani Plaza ou Hotel Hayassa (hotel central 4*)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1110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Quarto Duplo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Triplo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Single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Ramada by Wyndham ou similar (hotel central 4*)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1285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Quarto Duplo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Triplo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Quarto Single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Armenia DoubleTree by Hilton ou similar (hotel central 4* Superior)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1340</w:t>
            </w:r>
          </w:p>
        </w:tc>
      </w:tr>
    </w:tbl>
    <w:p>
      <w:pPr>
        <w:pStyle w:val="BodyText"/>
      </w:pPr>
      <w:r>
        <w:rPr>
          <w:bCs/>
          <w:b/>
        </w:rPr>
        <w:t xml:space="preserve">O preço do pacote inclui:</w:t>
      </w:r>
    </w:p>
    <w:p>
      <w:pPr>
        <w:numPr>
          <w:ilvl w:val="0"/>
          <w:numId w:val="1001"/>
        </w:numPr>
      </w:pPr>
      <w:r>
        <w:t xml:space="preserve">Transporte do Aeroporto Internacional na Armênia até o hotel</w:t>
      </w:r>
    </w:p>
    <w:p>
      <w:pPr>
        <w:numPr>
          <w:ilvl w:val="0"/>
          <w:numId w:val="1001"/>
        </w:numPr>
      </w:pPr>
      <w:r>
        <w:t xml:space="preserve">Transporte durante todo o programa (até 10 pessoas em micro-ônibus</w:t>
      </w:r>
      <w:r>
        <w:t xml:space="preserve"> </w:t>
      </w:r>
      <w:r>
        <w:t xml:space="preserve">Mercedes com ar-condicionado; a partir de 12 pessoas, em ônibus com</w:t>
      </w:r>
      <w:r>
        <w:t xml:space="preserve"> </w:t>
      </w:r>
      <w:r>
        <w:t xml:space="preserve">ar-condicionado e banheiro)</w:t>
      </w:r>
    </w:p>
    <w:p>
      <w:pPr>
        <w:numPr>
          <w:ilvl w:val="0"/>
          <w:numId w:val="1001"/>
        </w:numPr>
      </w:pPr>
      <w:r>
        <w:t xml:space="preserve">Hospedagem durante todo o programa em Erevã</w:t>
      </w:r>
    </w:p>
    <w:p>
      <w:pPr>
        <w:numPr>
          <w:ilvl w:val="0"/>
          <w:numId w:val="1001"/>
        </w:numPr>
      </w:pPr>
      <w:r>
        <w:t xml:space="preserve">Guia licenciado de língua espanhola</w:t>
      </w:r>
    </w:p>
    <w:p>
      <w:pPr>
        <w:numPr>
          <w:ilvl w:val="0"/>
          <w:numId w:val="1001"/>
        </w:numPr>
      </w:pPr>
      <w:r>
        <w:t xml:space="preserve">Alimentação – café da manhã todos os dias</w:t>
      </w:r>
    </w:p>
    <w:p>
      <w:pPr>
        <w:numPr>
          <w:ilvl w:val="0"/>
          <w:numId w:val="1001"/>
        </w:numPr>
      </w:pPr>
      <w:r>
        <w:t xml:space="preserve">Água mineral durante as refeições</w:t>
      </w:r>
    </w:p>
    <w:p>
      <w:pPr>
        <w:numPr>
          <w:ilvl w:val="0"/>
          <w:numId w:val="1001"/>
        </w:numPr>
      </w:pPr>
      <w:r>
        <w:t xml:space="preserve">Todas as entradas nos pontos notáveis, museus e galerias</w:t>
      </w:r>
    </w:p>
    <w:p>
      <w:pPr>
        <w:numPr>
          <w:ilvl w:val="0"/>
          <w:numId w:val="1001"/>
        </w:numPr>
      </w:pPr>
      <w:r>
        <w:t xml:space="preserve">Aula prática de preparação do pão da Armênia – Lavash</w:t>
      </w:r>
    </w:p>
    <w:p>
      <w:pPr>
        <w:numPr>
          <w:ilvl w:val="0"/>
          <w:numId w:val="1001"/>
        </w:numPr>
      </w:pPr>
      <w:r>
        <w:t xml:space="preserve">Água mineral todos os dias durante o transporte por parte da</w:t>
      </w:r>
      <w:r>
        <w:t xml:space="preserve"> </w:t>
      </w:r>
      <w:r>
        <w:t xml:space="preserve">Nueva Vista, assim como mapas da Armênia e da capital</w:t>
      </w:r>
    </w:p>
    <w:p>
      <w:pPr>
        <w:pStyle w:val="FirstParagraph"/>
      </w:pPr>
      <w:r>
        <w:rPr>
          <w:u w:val="single"/>
          <w:highlight w:val="yellow"/>
        </w:rPr>
        <w:t xml:space="preserve">Preço por 5 almoços: 90 Euros por pessoa</w:t>
      </w:r>
    </w:p>
    <w:p>
      <w:pPr>
        <w:pStyle w:val="BodyText"/>
      </w:pPr>
      <w:r>
        <w:rPr>
          <w:u w:val="single"/>
          <w:highlight w:val="yellow"/>
        </w:rPr>
        <w:t xml:space="preserve">Preço por 5 jantares: 115 Euros por pessoa</w:t>
      </w:r>
    </w:p>
    <w:p>
      <w:pPr>
        <w:pStyle w:val="BodyText"/>
      </w:pPr>
      <w:r>
        <w:rPr>
          <w:bCs/>
          <w:b/>
        </w:rPr>
        <w:t xml:space="preserve">O preço do pacote não inclui:</w:t>
      </w:r>
    </w:p>
    <w:p>
      <w:pPr>
        <w:numPr>
          <w:ilvl w:val="0"/>
          <w:numId w:val="1002"/>
        </w:numPr>
      </w:pPr>
      <w:r>
        <w:t xml:space="preserve">Voo de ida e volta à Armênia</w:t>
      </w:r>
    </w:p>
    <w:p>
      <w:pPr>
        <w:numPr>
          <w:ilvl w:val="0"/>
          <w:numId w:val="1002"/>
        </w:numPr>
      </w:pPr>
      <w:r>
        <w:t xml:space="preserve">Pagamento do visto (6 Euros) – para cidadãos da UE, Brasil,</w:t>
      </w:r>
      <w:r>
        <w:t xml:space="preserve"> </w:t>
      </w:r>
      <w:r>
        <w:t xml:space="preserve">Argentina e Uruguai</w:t>
      </w:r>
      <w:r>
        <w:t xml:space="preserve"> </w:t>
      </w:r>
      <w:r>
        <w:rPr>
          <w:bCs/>
          <w:b/>
        </w:rPr>
        <w:t xml:space="preserve">é gratuito</w:t>
      </w:r>
    </w:p>
    <w:p>
      <w:pPr>
        <w:numPr>
          <w:ilvl w:val="0"/>
          <w:numId w:val="1002"/>
        </w:numPr>
      </w:pPr>
      <w:r>
        <w:t xml:space="preserve">Bebidas alcoólicas durante as refeições (o preço de 1 garrafa de</w:t>
      </w:r>
      <w:r>
        <w:t xml:space="preserve"> </w:t>
      </w:r>
      <w:r>
        <w:t xml:space="preserve">bom vinho armênio no restaurante é de 10-12 Euros)</w:t>
      </w:r>
    </w:p>
    <w:p>
      <w:pPr>
        <w:numPr>
          <w:ilvl w:val="0"/>
          <w:numId w:val="1002"/>
        </w:numPr>
      </w:pPr>
      <w:r>
        <w:t xml:space="preserve">Pagamentos a carregadores nos hotéis</w:t>
      </w:r>
    </w:p>
    <w:p>
      <w:pPr>
        <w:numPr>
          <w:ilvl w:val="0"/>
          <w:numId w:val="1002"/>
        </w:numPr>
      </w:pPr>
      <w:r>
        <w:t xml:space="preserve">Gastos pessoais e frigobar do hotel</w:t>
      </w:r>
    </w:p>
    <w:p>
      <w:pPr>
        <w:numPr>
          <w:ilvl w:val="0"/>
          <w:numId w:val="1003"/>
        </w:numPr>
      </w:pPr>
      <w:r>
        <w:t xml:space="preserve">Preço por traslado extra ao aeroporto: 40 US$ por carro sedan</w:t>
      </w:r>
    </w:p>
    <w:p>
      <w:pPr>
        <w:numPr>
          <w:ilvl w:val="0"/>
          <w:numId w:val="1003"/>
        </w:numPr>
      </w:pPr>
      <w:r>
        <w:t xml:space="preserve">Preço pelo serviço de guia acompanhante por dia: 85 US$</w:t>
      </w:r>
    </w:p>
    <w:p>
      <w:pPr>
        <w:pStyle w:val="FirstParagraph"/>
      </w:pPr>
      <w:r>
        <w:rPr>
          <w:u w:val="single"/>
          <w:iCs/>
          <w:i/>
          <w:bCs/>
          <w:b/>
        </w:rPr>
        <w:t xml:space="preserve">Notas Importantes:</w:t>
      </w:r>
    </w:p>
    <w:p>
      <w:pPr>
        <w:pStyle w:val="BlockText"/>
      </w:pPr>
      <w:r>
        <w:rPr>
          <w:iCs/>
          <w:i/>
          <w:bCs/>
          <w:b/>
        </w:rPr>
        <w:t xml:space="preserve">Preços válidos para o ano de 2026: em caso de mudanças drásticas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entre a moeda nacional e a estrangeira, reservamo-nos o direito de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revisão de preços.</w:t>
      </w:r>
    </w:p>
    <w:p>
      <w:pPr>
        <w:pStyle w:val="BlockText"/>
      </w:pPr>
      <w:r>
        <w:rPr>
          <w:iCs/>
          <w:i/>
          <w:bCs/>
          <w:b/>
        </w:rPr>
        <w:t xml:space="preserve">A ordem das visitas pode ser modificada de acordo com as condições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climáticas, de tempo e a critério do guia</w:t>
      </w:r>
    </w:p>
    <w:p>
      <w:pPr>
        <w:pStyle w:val="BlockText"/>
      </w:pPr>
      <w:r>
        <w:rPr>
          <w:iCs/>
          <w:i/>
          <w:bCs/>
          <w:b/>
        </w:rPr>
        <w:t xml:space="preserve">A maioria dos museus fica fechada às segundas-feiras, feriados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oficiais e locais</w:t>
      </w:r>
    </w:p>
    <w:p>
      <w:pPr>
        <w:numPr>
          <w:ilvl w:val="0"/>
          <w:numId w:val="1004"/>
        </w:numPr>
      </w:pPr>
      <w:r>
        <w:rPr>
          <w:bCs/>
          <w:b/>
          <w:iCs/>
          <w:i/>
        </w:rPr>
        <w:t xml:space="preserve">01.05 – 07.05</w:t>
      </w:r>
      <w:r>
        <w:rPr>
          <w:iCs/>
          <w:i/>
        </w:rPr>
        <w:t xml:space="preserve">: Alta demanda devido às eleições na Armênia.</w:t>
      </w:r>
    </w:p>
    <w:p>
      <w:pPr>
        <w:numPr>
          <w:ilvl w:val="0"/>
          <w:numId w:val="1004"/>
        </w:numPr>
      </w:pPr>
      <w:r>
        <w:rPr>
          <w:bCs/>
          <w:b/>
          <w:iCs/>
          <w:i/>
        </w:rPr>
        <w:t xml:space="preserve">15 – 30 de outubro de 2026</w:t>
      </w:r>
      <w:r>
        <w:rPr>
          <w:iCs/>
          <w:i/>
        </w:rPr>
        <w:t xml:space="preserve">: Celebração da COP na Armênia.</w:t>
      </w:r>
    </w:p>
    <w:p>
      <w:pPr>
        <w:numPr>
          <w:ilvl w:val="0"/>
          <w:numId w:val="1004"/>
        </w:numPr>
      </w:pPr>
      <w:r>
        <w:rPr>
          <w:iCs/>
          <w:i/>
          <w:bCs/>
          <w:b/>
        </w:rPr>
        <w:t xml:space="preserve">25.12.26-06.01.2027 – Ano Novo e Natal</w:t>
      </w:r>
    </w:p>
    <w:sectPr>
      <w:headerReference r:id="rId9" w:type="default"/>
      <w:type w:val="nextPage"/>
      <w:pgSz w:h="16838" w:w="11906"/>
      <w:pgMar w:bottom="1134" w:footer="0" w:gutter="0" w:header="708" w:left="1440" w:right="850" w:top="1134"/>
      <w:pgNumType w:fmt="decimal"/>
      <w:formProt w:val="false"/>
      <w:textDirection w:val="lrTb"/>
      <w:docGrid w:charSpace="0" w:linePitch="36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Consolas">
    <w:charset w:val="cc" w:characterSet="windows-1251"/>
    <w:family w:val="modern"/>
    <w:pitch w:val="default"/>
  </w:font>
  <w:font w:name="Segoe UI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Book Antiqua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Courier New">
    <w:charset w:val="cc" w:characterSet="windows-1251"/>
    <w:family w:val="modern"/>
    <w:pitch w:val="fixed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1149350" cy="812800"/>
          <wp:effectExtent l="0" t="0" r="0" b="0"/>
          <wp:docPr id="2" name="Image2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44" r="-31" b="-44"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jc w:val="center"/>
      <w:rPr/>
    </w:pPr>
    <w:r>
      <w:rPr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2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3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4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5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6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7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8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pos="0" w:val="num"/>
        </w:tabs>
        <w:ind w:hanging="360" w:start="360"/>
      </w:pPr>
      <w:rPr>
        <w:rFonts w:ascii="Symbol" w:cs="Symbol" w:hAnsi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pos="720" w:val="num"/>
        </w:tabs>
        <w:ind w:hanging="360" w:start="720"/>
      </w:pPr>
      <w:rPr>
        <w:rFonts w:ascii="Symbol" w:cs="Symbol" w:hAnsi="Symbol" w:hint="default"/>
        <w:sz w:val="20"/>
      </w:rPr>
    </w:lvl>
    <w:lvl w:ilvl="1">
      <w:start w:val="1"/>
      <w:numFmt w:val="bullet"/>
      <w:lvlText w:val="o"/>
      <w:lvlJc w:val="start"/>
      <w:pPr>
        <w:tabs>
          <w:tab w:pos="1440" w:val="num"/>
        </w:tabs>
        <w:ind w:hanging="360" w:start="144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pos="2160" w:val="num"/>
        </w:tabs>
        <w:ind w:hanging="360" w:start="2160"/>
      </w:pPr>
      <w:rPr>
        <w:rFonts w:ascii="Wingdings" w:cs="Wingdings" w:hAnsi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pos="2880" w:val="num"/>
        </w:tabs>
        <w:ind w:hanging="360" w:start="288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pos="3600" w:val="num"/>
        </w:tabs>
        <w:ind w:hanging="360" w:start="360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pos="4320" w:val="num"/>
        </w:tabs>
        <w:ind w:hanging="360" w:start="432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pos="5040" w:val="num"/>
        </w:tabs>
        <w:ind w:hanging="360" w:start="504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pos="5760" w:val="num"/>
        </w:tabs>
        <w:ind w:hanging="360" w:start="57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pos="6480" w:val="num"/>
        </w:tabs>
        <w:ind w:hanging="360" w:start="6480"/>
      </w:pPr>
      <w:rPr>
        <w:rFonts w:ascii="Wingdings" w:cs="Wingdings" w:hAnsi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pos="0" w:val="num"/>
        </w:tabs>
        <w:ind w:hanging="360" w:start="360"/>
      </w:pPr>
      <w:rPr>
        <w:rFonts w:ascii="Symbol" w:cs="Symbol" w:hAnsi="Symbol" w:hint="default"/>
      </w:rPr>
    </w:lvl>
  </w:abstractNum>
  <w:abstractNum w:abstractNumId="5">
    <w:lvl w:ilvl="0">
      <w:start w:val="1"/>
      <w:numFmt w:val="bullet"/>
      <w:lvlText w:val=""/>
      <w:lvlJc w:val="start"/>
      <w:pPr>
        <w:tabs>
          <w:tab w:pos="0" w:val="num"/>
        </w:tabs>
        <w:ind w:hanging="360" w:start="1080"/>
      </w:pPr>
      <w:rPr>
        <w:rFonts w:ascii="Wingdings" w:cs="Wingdings" w:hAnsi="Wingdings" w:hint="default"/>
        <w:b/>
      </w:r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embedSystemFonts/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Liberation Serif" w:cs="FreeSans" w:eastAsia="Noto Serif CJK SC" w:hAnsi="Liberation Serif"/>
        <w:sz w:val="24"/>
        <w:szCs w:val="24"/>
        <w:lang w:bidi="hi-IN" w:eastAsia="zh-CN" w:val="en-US"/>
      </w:rPr>
    </w:rPrDefault>
    <w:pPrDefault>
      <w:pPr>
        <w:suppressAutoHyphens w:val="true"/>
      </w:pPr>
    </w:pPrDefault>
  </w:docDefaults>
  <w:style w:styleId="Normal" w:type="paragraph">
    <w:name w:val="Normal"/>
    <w:qFormat/>
    <w:pPr>
      <w:widowControl/>
      <w:bidi w:val="0"/>
    </w:pPr>
    <w:rPr>
      <w:rFonts w:ascii="Times New Roman" w:cs="Times New Roman" w:eastAsia="Times New Roman" w:hAnsi="Times New Roman"/>
      <w:color w:val="auto"/>
      <w:sz w:val="24"/>
      <w:szCs w:val="24"/>
      <w:lang w:bidi="ar-SA" w:eastAsia="zh-CN" w:val="es-ES"/>
    </w:rPr>
  </w:style>
  <w:style w:styleId="Heading1" w:type="paragraph">
    <w:name w:val="Heading 1"/>
    <w:basedOn w:val="Normal"/>
    <w:next w:val="Normal"/>
    <w:qFormat/>
    <w:pPr>
      <w:keepNext w:val="true"/>
      <w:numPr>
        <w:ilvl w:val="0"/>
        <w:numId w:val="1"/>
      </w:numPr>
      <w:spacing w:after="60" w:before="240"/>
      <w:outlineLvl w:val="0"/>
    </w:pPr>
    <w:rPr>
      <w:rFonts w:ascii="Cambria" w:cs="Cambria" w:hAnsi="Cambria"/>
      <w:b/>
      <w:bCs/>
      <w:kern w:val="2"/>
      <w:sz w:val="32"/>
      <w:szCs w:val="32"/>
      <w:lang w:val="en-US"/>
    </w:rPr>
  </w:style>
  <w:style w:styleId="Heading2" w:type="paragraph">
    <w:name w:val="Heading 2"/>
    <w:basedOn w:val="Normal"/>
    <w:next w:val="Normal"/>
    <w:qFormat/>
    <w:pPr>
      <w:keepNext w:val="true"/>
      <w:numPr>
        <w:ilvl w:val="1"/>
        <w:numId w:val="1"/>
      </w:numPr>
      <w:spacing w:after="60" w:before="240"/>
      <w:outlineLvl w:val="1"/>
    </w:pPr>
    <w:rPr>
      <w:rFonts w:ascii="Cambria" w:cs="Cambria" w:hAnsi="Cambria"/>
      <w:b/>
      <w:bCs/>
      <w:i/>
      <w:iCs/>
      <w:sz w:val="28"/>
      <w:szCs w:val="28"/>
      <w:lang w:val="en-US"/>
    </w:rPr>
  </w:style>
  <w:style w:styleId="WW8Num1z0" w:type="character">
    <w:name w:val="WW8Num1z0"/>
    <w:qFormat/>
    <w:rPr>
      <w:rFonts w:ascii="Symbol" w:cs="Symbol" w:hAnsi="Symbol"/>
    </w:rPr>
  </w:style>
  <w:style w:styleId="WW8Num2z0" w:type="character">
    <w:name w:val="WW8Num2z0"/>
    <w:qFormat/>
    <w:rPr>
      <w:rFonts w:ascii="Symbol" w:cs="Symbol" w:hAnsi="Symbol"/>
    </w:rPr>
  </w:style>
  <w:style w:styleId="WW8Num3z0" w:type="character">
    <w:name w:val="WW8Num3z0"/>
    <w:qFormat/>
    <w:rPr>
      <w:rFonts w:ascii="Symbol" w:cs="Symbol" w:hAnsi="Symbol"/>
    </w:rPr>
  </w:style>
  <w:style w:styleId="WW8Num3z1" w:type="character">
    <w:name w:val="WW8Num3z1"/>
    <w:qFormat/>
    <w:rPr>
      <w:rFonts w:ascii="Courier New" w:cs="Courier New" w:hAnsi="Courier New"/>
    </w:rPr>
  </w:style>
  <w:style w:styleId="WW8Num3z2" w:type="character">
    <w:name w:val="WW8Num3z2"/>
    <w:qFormat/>
    <w:rPr>
      <w:rFonts w:ascii="Wingdings" w:cs="Wingdings" w:hAnsi="Wingdings"/>
    </w:rPr>
  </w:style>
  <w:style w:styleId="WW8Num4z0" w:type="character">
    <w:name w:val="WW8Num4z0"/>
    <w:qFormat/>
    <w:rPr>
      <w:b/>
      <w:color w:val="FF0000"/>
    </w:rPr>
  </w:style>
  <w:style w:styleId="WW8Num5z0" w:type="character">
    <w:name w:val="WW8Num5z0"/>
    <w:qFormat/>
    <w:rPr>
      <w:rFonts w:ascii="Wingdings" w:cs="Wingdings" w:hAnsi="Wingdings"/>
    </w:rPr>
  </w:style>
  <w:style w:styleId="WW8Num5z1" w:type="character">
    <w:name w:val="WW8Num5z1"/>
    <w:qFormat/>
    <w:rPr>
      <w:rFonts w:ascii="Courier New" w:cs="Courier New" w:hAnsi="Courier New"/>
    </w:rPr>
  </w:style>
  <w:style w:styleId="WW8Num5z3" w:type="character">
    <w:name w:val="WW8Num5z3"/>
    <w:qFormat/>
    <w:rPr>
      <w:rFonts w:ascii="Symbol" w:cs="Symbol" w:hAnsi="Symbol"/>
    </w:rPr>
  </w:style>
  <w:style w:styleId="WW8Num6z0" w:type="character">
    <w:name w:val="WW8Num6z0"/>
    <w:qFormat/>
    <w:rPr>
      <w:rFonts w:ascii="Wingdings" w:cs="Wingdings" w:hAnsi="Wingdings"/>
    </w:rPr>
  </w:style>
  <w:style w:styleId="WW8Num6z1" w:type="character">
    <w:name w:val="WW8Num6z1"/>
    <w:qFormat/>
    <w:rPr>
      <w:rFonts w:ascii="Courier New" w:cs="Courier New" w:hAnsi="Courier New"/>
    </w:rPr>
  </w:style>
  <w:style w:styleId="WW8Num6z3" w:type="character">
    <w:name w:val="WW8Num6z3"/>
    <w:qFormat/>
    <w:rPr>
      <w:rFonts w:ascii="Symbol" w:cs="Symbol" w:hAnsi="Symbol"/>
    </w:rPr>
  </w:style>
  <w:style w:styleId="WW8Num7z0" w:type="character">
    <w:name w:val="WW8Num7z0"/>
    <w:qFormat/>
    <w:rPr>
      <w:rFonts w:ascii="Symbol" w:cs="Symbol" w:hAnsi="Symbol"/>
    </w:rPr>
  </w:style>
  <w:style w:styleId="WW8Num7z1" w:type="character">
    <w:name w:val="WW8Num7z1"/>
    <w:qFormat/>
    <w:rPr>
      <w:rFonts w:ascii="Courier New" w:cs="Courier New" w:hAnsi="Courier New"/>
    </w:rPr>
  </w:style>
  <w:style w:styleId="WW8Num7z2" w:type="character">
    <w:name w:val="WW8Num7z2"/>
    <w:qFormat/>
    <w:rPr>
      <w:rFonts w:ascii="Wingdings" w:cs="Wingdings" w:hAnsi="Wingdings"/>
    </w:rPr>
  </w:style>
  <w:style w:styleId="WW8Num8z0" w:type="character">
    <w:name w:val="WW8Num8z0"/>
    <w:qFormat/>
    <w:rPr>
      <w:rFonts w:ascii="Symbol" w:cs="Symbol" w:hAnsi="Symbol"/>
      <w:sz w:val="20"/>
    </w:rPr>
  </w:style>
  <w:style w:styleId="WW8Num8z1" w:type="character">
    <w:name w:val="WW8Num8z1"/>
    <w:qFormat/>
    <w:rPr>
      <w:rFonts w:ascii="Courier New" w:cs="Times New Roman" w:hAnsi="Courier New"/>
      <w:sz w:val="20"/>
    </w:rPr>
  </w:style>
  <w:style w:styleId="WW8Num8z2" w:type="character">
    <w:name w:val="WW8Num8z2"/>
    <w:qFormat/>
    <w:rPr>
      <w:rFonts w:ascii="Wingdings" w:cs="Wingdings" w:hAnsi="Wingdings"/>
      <w:sz w:val="20"/>
    </w:rPr>
  </w:style>
  <w:style w:styleId="WW8Num9z0" w:type="character">
    <w:name w:val="WW8Num9z0"/>
    <w:qFormat/>
    <w:rPr>
      <w:rFonts w:ascii="Symbol" w:cs="Symbol" w:hAnsi="Symbol"/>
    </w:rPr>
  </w:style>
  <w:style w:styleId="WW8Num9z1" w:type="character">
    <w:name w:val="WW8Num9z1"/>
    <w:qFormat/>
    <w:rPr>
      <w:rFonts w:ascii="Courier New" w:cs="Courier New" w:hAnsi="Courier New"/>
    </w:rPr>
  </w:style>
  <w:style w:styleId="WW8Num9z2" w:type="character">
    <w:name w:val="WW8Num9z2"/>
    <w:qFormat/>
    <w:rPr>
      <w:rFonts w:ascii="Wingdings" w:cs="Wingdings" w:hAnsi="Wingdings"/>
    </w:rPr>
  </w:style>
  <w:style w:styleId="WW8Num10z0" w:type="character">
    <w:name w:val="WW8Num10z0"/>
    <w:qFormat/>
    <w:rPr>
      <w:rFonts w:ascii="Wingdings" w:cs="Wingdings" w:hAnsi="Wingdings"/>
      <w:b/>
    </w:rPr>
  </w:style>
  <w:style w:styleId="WW8Num10z1" w:type="character">
    <w:name w:val="WW8Num10z1"/>
    <w:qFormat/>
    <w:rPr>
      <w:rFonts w:ascii="Courier New" w:cs="Courier New" w:hAnsi="Courier New"/>
    </w:rPr>
  </w:style>
  <w:style w:styleId="WW8Num10z2" w:type="character">
    <w:name w:val="WW8Num10z2"/>
    <w:qFormat/>
    <w:rPr>
      <w:rFonts w:ascii="Wingdings" w:cs="Wingdings" w:hAnsi="Wingdings"/>
    </w:rPr>
  </w:style>
  <w:style w:styleId="WW8Num10z3" w:type="character">
    <w:name w:val="WW8Num10z3"/>
    <w:qFormat/>
    <w:rPr>
      <w:rFonts w:ascii="Symbol" w:cs="Symbol" w:hAnsi="Symbol"/>
    </w:rPr>
  </w:style>
  <w:style w:styleId="DefaultParagraphFont" w:type="character">
    <w:name w:val="Default Paragraph Font"/>
    <w:qFormat/>
    <w:rPr/>
  </w:style>
  <w:style w:styleId="Heading1Char" w:type="character">
    <w:name w:val="Heading 1 Char"/>
    <w:qFormat/>
    <w:rPr>
      <w:rFonts w:ascii="Cambria" w:cs="Times New Roman" w:eastAsia="Times New Roman" w:hAnsi="Cambria"/>
      <w:b/>
      <w:bCs/>
      <w:kern w:val="2"/>
      <w:sz w:val="32"/>
      <w:szCs w:val="32"/>
      <w:lang w:val="en-US"/>
    </w:rPr>
  </w:style>
  <w:style w:styleId="Heading2Char" w:type="character">
    <w:name w:val="Heading 2 Char"/>
    <w:qFormat/>
    <w:rPr>
      <w:rFonts w:ascii="Cambria" w:cs="Times New Roman" w:eastAsia="Times New Roman" w:hAnsi="Cambria"/>
      <w:b/>
      <w:bCs/>
      <w:i/>
      <w:iCs/>
      <w:sz w:val="28"/>
      <w:szCs w:val="28"/>
      <w:lang w:val="en-US"/>
    </w:rPr>
  </w:style>
  <w:style w:styleId="BodyTextChar" w:type="character">
    <w:name w:val="Body Text Char"/>
    <w:qFormat/>
    <w:rPr>
      <w:rFonts w:ascii="Arial" w:cs="Times New Roman" w:eastAsia="Times New Roman" w:hAnsi="Arial"/>
      <w:sz w:val="24"/>
      <w:szCs w:val="20"/>
      <w:lang w:val="es-ES"/>
    </w:rPr>
  </w:style>
  <w:style w:styleId="Emphasis" w:type="character">
    <w:name w:val="Emphasis"/>
    <w:qFormat/>
    <w:rPr>
      <w:i/>
      <w:iCs/>
    </w:rPr>
  </w:style>
  <w:style w:styleId="PlainTextChar" w:type="character">
    <w:name w:val="Plain Text Char"/>
    <w:qFormat/>
    <w:rPr>
      <w:rFonts w:ascii="Consolas" w:cs="Consolas" w:eastAsia="Calibri" w:hAnsi="Consolas"/>
      <w:sz w:val="21"/>
      <w:szCs w:val="21"/>
    </w:rPr>
  </w:style>
  <w:style w:styleId="apple-converted-space" w:type="character">
    <w:name w:val="apple-converted-space"/>
    <w:qFormat/>
    <w:rPr/>
  </w:style>
  <w:style w:styleId="hps" w:type="character">
    <w:name w:val="hps"/>
    <w:qFormat/>
    <w:rPr/>
  </w:style>
  <w:style w:styleId="Hyperlink" w:type="character">
    <w:name w:val="Hyperlink"/>
    <w:rPr>
      <w:color w:val="0563C1"/>
      <w:u w:val="single"/>
    </w:rPr>
  </w:style>
  <w:style w:styleId="BalloonTextChar" w:type="character">
    <w:name w:val="Balloon Text Char"/>
    <w:qFormat/>
    <w:rPr>
      <w:rFonts w:ascii="Segoe UI" w:cs="Segoe UI" w:eastAsia="Times New Roman" w:hAnsi="Segoe UI"/>
      <w:sz w:val="18"/>
      <w:szCs w:val="18"/>
      <w:lang w:val="es-ES"/>
    </w:rPr>
  </w:style>
  <w:style w:styleId="HeaderChar" w:type="character">
    <w:name w:val="Header Char"/>
    <w:qFormat/>
    <w:rPr>
      <w:rFonts w:ascii="Times New Roman" w:cs="Times New Roman" w:eastAsia="Times New Roman" w:hAnsi="Times New Roman"/>
      <w:sz w:val="24"/>
      <w:szCs w:val="24"/>
    </w:rPr>
  </w:style>
  <w:style w:styleId="FooterChar" w:type="character">
    <w:name w:val="Footer Char"/>
    <w:qFormat/>
    <w:rPr>
      <w:rFonts w:ascii="Times New Roman" w:cs="Times New Roman" w:eastAsia="Times New Roman" w:hAnsi="Times New Roman"/>
      <w:sz w:val="24"/>
      <w:szCs w:val="24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Liberation Sans" w:cs="FreeSans" w:eastAsia="Noto Sans CJK SC" w:hAnsi="Liberation Sans"/>
      <w:sz w:val="28"/>
      <w:szCs w:val="28"/>
    </w:rPr>
  </w:style>
  <w:style w:styleId="BodyText" w:type="paragraph">
    <w:name w:val="Body Text"/>
    <w:basedOn w:val="Normal"/>
    <w:pPr>
      <w:spacing w:line="360" w:lineRule="auto"/>
    </w:pPr>
    <w:rPr>
      <w:rFonts w:ascii="Arial" w:cs="Arial" w:hAnsi="Arial"/>
      <w:szCs w:val="20"/>
    </w:rPr>
  </w:style>
  <w:style w:styleId="List" w:type="paragraph">
    <w:name w:val="List"/>
    <w:basedOn w:val="BodyText"/>
    <w:pPr/>
    <w:rPr>
      <w:rFonts w:cs="FreeSans"/>
    </w:rPr>
  </w:style>
  <w:style w:styleId="Caption" w:type="paragraph">
    <w:name w:val="Caption"/>
    <w:basedOn w:val="Normal"/>
    <w:qFormat/>
    <w:pPr>
      <w:suppressLineNumbers/>
      <w:spacing w:after="120" w:before="120"/>
    </w:pPr>
    <w:rPr>
      <w:rFonts w:cs="FreeSans"/>
      <w:i/>
      <w:iCs/>
      <w:sz w:val="24"/>
      <w:szCs w:val="24"/>
    </w:rPr>
  </w:style>
  <w:style w:styleId="Index" w:type="paragraph">
    <w:name w:val="Index"/>
    <w:basedOn w:val="Normal"/>
    <w:qFormat/>
    <w:pPr>
      <w:suppressLineNumbers/>
    </w:pPr>
    <w:rPr>
      <w:rFonts w:cs="FreeSans"/>
    </w:rPr>
  </w:style>
  <w:style w:styleId="style13" w:type="paragraph">
    <w:name w:val="style13"/>
    <w:basedOn w:val="Normal"/>
    <w:qFormat/>
    <w:pPr>
      <w:spacing w:after="280" w:before="280"/>
    </w:pPr>
    <w:rPr>
      <w:sz w:val="20"/>
      <w:szCs w:val="20"/>
      <w:lang w:val="ru-RU"/>
    </w:rPr>
  </w:style>
  <w:style w:styleId="PlainText" w:type="paragraph">
    <w:name w:val="Plain Text"/>
    <w:basedOn w:val="Normal"/>
    <w:qFormat/>
    <w:pPr/>
    <w:rPr>
      <w:rFonts w:ascii="Consolas" w:cs="Consolas" w:eastAsia="Calibri" w:hAnsi="Consolas"/>
      <w:sz w:val="21"/>
      <w:szCs w:val="21"/>
      <w:lang w:val="ru-RU"/>
    </w:rPr>
  </w:style>
  <w:style w:styleId="BalloonText" w:type="paragraph">
    <w:name w:val="Balloon Text"/>
    <w:basedOn w:val="Normal"/>
    <w:qFormat/>
    <w:pPr/>
    <w:rPr>
      <w:rFonts w:ascii="Segoe UI" w:cs="Segoe UI" w:hAnsi="Segoe UI"/>
      <w:sz w:val="18"/>
      <w:szCs w:val="18"/>
    </w:rPr>
  </w:style>
  <w:style w:styleId="HeaderandFooter" w:type="paragraph">
    <w:name w:val="Header and Footer"/>
    <w:basedOn w:val="Normal"/>
    <w:qFormat/>
    <w:pPr>
      <w:suppressLineNumbers/>
      <w:tabs>
        <w:tab w:pos="708" w:val="clear"/>
        <w:tab w:leader="none" w:pos="4819" w:val="center"/>
        <w:tab w:leader="none" w:pos="9638" w:val="right"/>
      </w:tabs>
    </w:pPr>
    <w:rPr/>
  </w:style>
  <w:style w:styleId="Header" w:type="paragraph">
    <w:name w:val="Header"/>
    <w:basedOn w:val="Normal"/>
    <w:pPr>
      <w:tabs>
        <w:tab w:pos="708" w:val="clear"/>
        <w:tab w:leader="none" w:pos="4252" w:val="center"/>
        <w:tab w:leader="none" w:pos="8504" w:val="right"/>
      </w:tabs>
    </w:pPr>
    <w:rPr/>
  </w:style>
  <w:style w:styleId="Footer" w:type="paragraph">
    <w:name w:val="Footer"/>
    <w:basedOn w:val="Normal"/>
    <w:pPr>
      <w:tabs>
        <w:tab w:pos="708" w:val="clear"/>
        <w:tab w:leader="none" w:pos="4252" w:val="center"/>
        <w:tab w:leader="none" w:pos="8504" w:val="right"/>
      </w:tabs>
    </w:pPr>
    <w:rPr/>
  </w:style>
  <w:style w:styleId="TableContents" w:type="paragraph">
    <w:name w:val="Table Contents"/>
    <w:basedOn w:val="Normal"/>
    <w:qFormat/>
    <w:pPr>
      <w:widowControl w:val="false"/>
      <w:suppressLineNumbers/>
    </w:pPr>
    <w:rPr/>
  </w:style>
  <w:style w:styleId="TableHeading" w:type="paragraph">
    <w:name w:val="Table Heading"/>
    <w:basedOn w:val="TableContents"/>
    <w:qFormat/>
    <w:pPr>
      <w:suppressLineNumbers/>
      <w:jc w:val="center"/>
    </w:pPr>
    <w:rPr>
      <w:b/>
      <w:bCs/>
    </w:rPr>
  </w:style>
  <w:style w:styleId="WW8Num1" w:type="numbering">
    <w:name w:val="WW8Num1"/>
    <w:qFormat/>
  </w:style>
  <w:style w:styleId="WW8Num2" w:type="numbering">
    <w:name w:val="WW8Num2"/>
    <w:qFormat/>
  </w:style>
  <w:style w:styleId="WW8Num3" w:type="numbering">
    <w:name w:val="WW8Num3"/>
    <w:qFormat/>
  </w:style>
  <w:style w:styleId="WW8Num4" w:type="numbering">
    <w:name w:val="WW8Num4"/>
    <w:qFormat/>
  </w:style>
  <w:style w:styleId="WW8Num5" w:type="numbering">
    <w:name w:val="WW8Num5"/>
    <w:qFormat/>
  </w:style>
  <w:style w:styleId="WW8Num6" w:type="numbering">
    <w:name w:val="WW8Num6"/>
    <w:qFormat/>
  </w:style>
  <w:style w:styleId="WW8Num7" w:type="numbering">
    <w:name w:val="WW8Num7"/>
    <w:qFormat/>
  </w:style>
  <w:style w:styleId="WW8Num8" w:type="numbering">
    <w:name w:val="WW8Num8"/>
    <w:qFormat/>
  </w:style>
  <w:style w:styleId="WW8Num9" w:type="numbering">
    <w:name w:val="WW8Num9"/>
    <w:qFormat/>
  </w:style>
  <w:style w:styleId="WW8Num10" w:type="numbering">
    <w:name w:val="WW8Num10"/>
    <w:qFormat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Type="http://schemas.openxmlformats.org/officeDocument/2006/relationships/image" Id="rId20" Target="media/rId20.jpg" /></Relationships>
</file>

<file path=word/_rels/footnotes.xml.rels><?xml version="1.0" encoding="UTF-8"?><Relationships xmlns="http://schemas.openxmlformats.org/package/2006/relationships" /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2026-07-02T19:44:14Z</dcterms:created>
  <dcterms:modified xsi:type="dcterms:W3CDTF">2026-07-02T19:44:14Z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