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300"/>
        <w:jc w:val="center"/>
      </w:pPr>
      <w:r>
        <w:rPr>
          <w:b/>
          <w:bCs/>
          <w:color w:val="1F4E5F"/>
          <w:sz w:val="40"/>
          <w:szCs w:val="40"/>
        </w:rPr>
        <w:t xml:space="preserve">DESTAQUES DE INVERNO NO MENO</w:t>
      </w:r>
    </w:p>
    <w:p>
      <w:pPr>
        <w:spacing w:after="300"/>
        <w:jc w:val="center"/>
      </w:pPr>
      <w:r>
        <w:rPr>
          <w:i/>
          <w:iCs/>
          <w:color w:val="B08D57"/>
          <w:sz w:val="22"/>
          <w:szCs w:val="22"/>
        </w:rPr>
        <w:t xml:space="preserve">Cruzeiro fluvial de 5 dias | VIVA Cruises</w:t>
      </w:r>
    </w:p>
    <w:p>
      <w:pPr>
        <w:spacing w:after="120"/>
      </w:pPr>
      <w:r>
        <w:rPr>
          <w:color w:val="262626"/>
          <w:sz w:val="24"/>
          <w:szCs w:val="24"/>
        </w:rPr>
        <w:t xml:space="preserve">O cruzeiro parte de Frankfurt e navega pelo Rio Meno até Wertheim, Würzburg e Miltenberg, retornando a Frankfurt — uma jornada que combina natureza, história e cultura por uma das paisagens fluviais mais pitorescas da Alemanha.</w:t>
      </w:r>
    </w:p>
    <w:p>
      <w:pPr>
        <w:spacing w:after="120"/>
      </w:pPr>
      <w:r>
        <w:rPr>
          <w:color w:val="262626"/>
          <w:sz w:val="24"/>
          <w:szCs w:val="24"/>
        </w:rPr>
        <w:t xml:space="preserve">Paisagem que une vinhedos, vilarejos enxaimel medievais e o esplendor barroco da Residência de Würzburg, Patrimônio Mundial da UNESCO (forte apelo visual para redes sociais do cliente), cidades com identidade própria e fácil de descrever (Frankfurt, Wertheim, Würzburg, Miltenberg), formato all-inclusive. Bom encaixe para quem busca uma introdução à Francônia, casais e viajantes 50+.</w:t>
      </w:r>
    </w:p>
    <w:p>
      <w:pPr>
        <w:spacing w:after="30" w:before="80"/>
        <w:jc w:val="center"/>
      </w:pPr>
      <w:r>
        <w:drawing>
          <wp:inline distT="0" distB="0" distL="0" distR="0">
            <wp:extent cx="3238500" cy="21621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i/>
          <w:iCs/>
          <w:color w:val="595959"/>
          <w:sz w:val="18"/>
          <w:szCs w:val="18"/>
        </w:rPr>
        <w:t xml:space="preserve">MS VIVA TIARA</w:t>
      </w:r>
    </w:p>
    <w:p>
      <w:pPr>
        <w:pStyle w:val="Heading1"/>
        <w:pBdr>
          <w:bottom w:val="single" w:color="B08D57" w:sz="8" w:space="4"/>
        </w:pBdr>
        <w:spacing w:after="100" w:before="100"/>
      </w:pPr>
      <w:r>
        <w:rPr>
          <w:b/>
          <w:bCs/>
          <w:color w:val="1F4E5F"/>
          <w:sz w:val="34"/>
          <w:szCs w:val="34"/>
        </w:rPr>
        <w:t xml:space="preserve">Itinerário do Cruzeiro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3500"/>
        <w:gridCol w:w="2500"/>
        <w:gridCol w:w="2500"/>
      </w:tblGrid>
      <w:tr>
        <w:trPr>
          <w:tblHeader/>
        </w:trPr>
        <w:tc>
          <w:tcPr>
            <w:tcW w:type="pct" w:w="15%"/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Dia</w:t>
            </w:r>
          </w:p>
        </w:tc>
        <w:tc>
          <w:tcPr>
            <w:tcW w:type="pct" w:w="35%"/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Porto</w:t>
            </w:r>
          </w:p>
        </w:tc>
        <w:tc>
          <w:tcPr>
            <w:tcW w:type="pct" w:w="25%"/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Chegada</w:t>
            </w:r>
          </w:p>
        </w:tc>
        <w:tc>
          <w:tcPr>
            <w:tcW w:type="pct" w:w="25%"/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Partida</w:t>
            </w:r>
          </w:p>
        </w:tc>
      </w:tr>
      <w:tr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Dia 1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262626"/>
                <w:sz w:val="19"/>
                <w:szCs w:val="19"/>
              </w:rPr>
              <w:t xml:space="preserve">Frankfurt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—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16:00</w:t>
            </w:r>
          </w:p>
        </w:tc>
      </w:tr>
      <w:tr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Dia 2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262626"/>
                <w:sz w:val="19"/>
                <w:szCs w:val="19"/>
              </w:rPr>
              <w:t xml:space="preserve">Wertheim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11:30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17:00</w:t>
            </w:r>
          </w:p>
        </w:tc>
      </w:tr>
      <w:tr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Dia 3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262626"/>
                <w:sz w:val="19"/>
                <w:szCs w:val="19"/>
              </w:rPr>
              <w:t xml:space="preserve">Würzburg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09:30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17:00</w:t>
            </w:r>
          </w:p>
        </w:tc>
      </w:tr>
      <w:tr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Dia 4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262626"/>
                <w:sz w:val="19"/>
                <w:szCs w:val="19"/>
              </w:rPr>
              <w:t xml:space="preserve">Miltenberg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14:00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18:00</w:t>
            </w:r>
          </w:p>
        </w:tc>
      </w:tr>
      <w:tr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Dia 5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262626"/>
                <w:sz w:val="19"/>
                <w:szCs w:val="19"/>
              </w:rPr>
              <w:t xml:space="preserve">Frankfurt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09:00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—</w:t>
            </w:r>
          </w:p>
        </w:tc>
      </w:tr>
    </w:tbl>
    <w:p>
      <w:pPr>
        <w:spacing w:after="120"/>
      </w:pPr>
      <w:r>
        <w:rPr>
          <w:i/>
          <w:iCs/>
          <w:color w:val="595959"/>
          <w:sz w:val="18"/>
          <w:szCs w:val="18"/>
        </w:rPr>
        <w:t xml:space="preserve">Desembarque após o café da manhã, no último dia.</w:t>
      </w:r>
    </w:p>
    <w:p>
      <w:pPr>
        <w:spacing w:after="30" w:before="80"/>
        <w:jc w:val="center"/>
      </w:pPr>
      <w:r>
        <w:drawing>
          <wp:inline distT="0" distB="0" distL="0" distR="0">
            <wp:extent cx="2857500" cy="21431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i/>
          <w:iCs/>
          <w:color w:val="595959"/>
          <w:sz w:val="18"/>
          <w:szCs w:val="18"/>
        </w:rPr>
        <w:t xml:space="preserve">Mapa do trajeto — Rio Meno</w:t>
      </w:r>
    </w:p>
    <w:p>
      <w:pPr>
        <w:pStyle w:val="Heading1"/>
        <w:pBdr>
          <w:bottom w:val="single" w:color="B08D57" w:sz="8" w:space="4"/>
        </w:pBdr>
        <w:spacing w:after="100" w:before="100"/>
      </w:pPr>
      <w:r>
        <w:rPr>
          <w:b/>
          <w:bCs/>
          <w:color w:val="1F4E5F"/>
          <w:sz w:val="34"/>
          <w:szCs w:val="34"/>
        </w:rPr>
        <w:t xml:space="preserve">Destaques do Roteiro</w:t>
      </w:r>
    </w:p>
    <w:p>
      <w:pPr>
        <w:pStyle w:val="Heading2"/>
        <w:spacing w:after="70" w:before="120"/>
      </w:pPr>
      <w:r>
        <w:rPr>
          <w:b/>
          <w:bCs/>
          <w:color w:val="1F4E5F"/>
          <w:sz w:val="27"/>
          <w:szCs w:val="27"/>
        </w:rPr>
        <w:t xml:space="preserve">Frankfurt</w:t>
      </w:r>
    </w:p>
    <w:p>
      <w:pPr>
        <w:spacing w:after="120"/>
      </w:pPr>
      <w:r>
        <w:rPr>
          <w:color w:val="262626"/>
          <w:sz w:val="24"/>
          <w:szCs w:val="24"/>
        </w:rPr>
        <w:t xml:space="preserve">Conectada ao Danúbio pelo Canal Meno-Danúbio, Frankfurt é uma das cidades mais singulares da Alemanha — a única com um skyline de arranha-céus. A vista da metrópole a partir do mirante da MAIN TOWER é uma experiência à parte. Mas Frankfurt não é só moderna e agitada: o Römer e a Igreja de São Bartolomeu estão entre os marcos históricos mais famosos do país, e o distrito de museus à beira do Meno reúne quase 40 espaços culturais.</w:t>
      </w:r>
    </w:p>
    <w:p>
      <w:pPr>
        <w:pStyle w:val="Heading2"/>
        <w:spacing w:after="70" w:before="120"/>
      </w:pPr>
      <w:r>
        <w:rPr>
          <w:b/>
          <w:bCs/>
          <w:color w:val="1F4E5F"/>
          <w:sz w:val="27"/>
          <w:szCs w:val="27"/>
        </w:rPr>
        <w:t xml:space="preserve">Wertheim</w:t>
      </w:r>
    </w:p>
    <w:p>
      <w:pPr>
        <w:spacing w:after="120"/>
      </w:pPr>
      <w:r>
        <w:rPr>
          <w:color w:val="262626"/>
          <w:sz w:val="24"/>
          <w:szCs w:val="24"/>
        </w:rPr>
        <w:t xml:space="preserve">A pequena cidade de Wertheim fica onde o Rio Tauber desemboca no Meno. Magníficas construções enxaimel marcam a praça do mercado. Entre as atrações está a igreja paroquial, que remonta ao período gótico e onde os Condes de Wertheim — que governaram a região do século XV ao XVIII — encontraram seu descanso final. Outros pontos turísticos incluem o Museu do Vidro e um imponente castelo que domina a cidade do alto de uma colina.</w:t>
      </w:r>
    </w:p>
    <w:p>
      <w:pPr>
        <w:spacing w:after="30" w:before="80"/>
        <w:jc w:val="center"/>
      </w:pPr>
      <w:r>
        <w:drawing>
          <wp:inline distT="0" distB="0" distL="0" distR="0">
            <wp:extent cx="3619500" cy="8763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i/>
          <w:iCs/>
          <w:color w:val="595959"/>
          <w:sz w:val="18"/>
          <w:szCs w:val="18"/>
        </w:rPr>
        <w:t xml:space="preserve">Vista panorâmica de Wertheim às margens do Meno</w:t>
      </w:r>
    </w:p>
    <w:p>
      <w:pPr>
        <w:pStyle w:val="Heading2"/>
        <w:spacing w:after="70" w:before="120"/>
      </w:pPr>
      <w:r>
        <w:rPr>
          <w:b/>
          <w:bCs/>
          <w:color w:val="1F4E5F"/>
          <w:sz w:val="27"/>
          <w:szCs w:val="27"/>
        </w:rPr>
        <w:t xml:space="preserve">Würzburg</w:t>
      </w:r>
    </w:p>
    <w:p>
      <w:pPr>
        <w:spacing w:after="120"/>
      </w:pPr>
      <w:r>
        <w:rPr>
          <w:color w:val="262626"/>
          <w:sz w:val="24"/>
          <w:szCs w:val="24"/>
        </w:rPr>
        <w:t xml:space="preserve">Erguendo-se sobre o Rio Meno está o símbolo da cidade, visível de longe: a Fortaleza de Marienberg, que por séculos serviu de sede aos príncipes-bispos de Würzburg. Mesmo uma caminhada pela Ponte Velha do Meno, com suas estátuas de pedra em tamanho monumental, já é uma experiência à parte. Do Marienberg, abre-se uma vista panorâmica sobre os vinhedos e as torres de cerca de 60 igrejas. A Residência de Würzburg, palácio urbano dos príncipes-bispos, foi incluída na Lista do Patrimônio Mundial da UNESCO já em 1981.</w:t>
      </w:r>
    </w:p>
    <w:p>
      <w:pPr>
        <w:pStyle w:val="Heading2"/>
        <w:spacing w:after="70" w:before="120"/>
      </w:pPr>
      <w:r>
        <w:rPr>
          <w:b/>
          <w:bCs/>
          <w:color w:val="1F4E5F"/>
          <w:sz w:val="27"/>
          <w:szCs w:val="27"/>
        </w:rPr>
        <w:t xml:space="preserve">Miltenberg</w:t>
      </w:r>
    </w:p>
    <w:p>
      <w:pPr>
        <w:spacing w:after="120"/>
      </w:pPr>
      <w:r>
        <w:rPr>
          <w:color w:val="262626"/>
          <w:sz w:val="24"/>
          <w:szCs w:val="24"/>
        </w:rPr>
        <w:t xml:space="preserve">A charmosa cidade de Miltenberg aparece em registros históricos desde 1237 e logo alcançou considerável prosperidade. Situada em uma curva do Rio Meno, encanta com sua requintada arquitetura enxaimel, a famosa torre-portão "Schnatterloch" e o que é provavelmente a estalagem mais antiga da Alemanha. Imponentes frontões enxaimel formam o cenário distintivo da praça medieval, e o Castelo de Mildenburg domina a cidade idílica do alto da colina.</w:t>
      </w:r>
    </w:p>
    <w:p>
      <w:pPr>
        <w:spacing w:after="30" w:before="80"/>
        <w:jc w:val="center"/>
      </w:pPr>
      <w:r>
        <w:drawing>
          <wp:inline distT="0" distB="0" distL="0" distR="0">
            <wp:extent cx="3619500" cy="23241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i/>
          <w:iCs/>
          <w:color w:val="595959"/>
          <w:sz w:val="18"/>
          <w:szCs w:val="18"/>
        </w:rPr>
        <w:t xml:space="preserve">Miltenberg às margens do Meno</w:t>
      </w:r>
    </w:p>
    <w:p>
      <w:pPr>
        <w:pStyle w:val="Heading1"/>
        <w:pBdr>
          <w:bottom w:val="single" w:color="B08D57" w:sz="8" w:space="4"/>
        </w:pBdr>
        <w:spacing w:after="100" w:before="100"/>
      </w:pPr>
      <w:r>
        <w:rPr>
          <w:b/>
          <w:bCs/>
          <w:color w:val="1F4E5F"/>
          <w:sz w:val="34"/>
          <w:szCs w:val="34"/>
        </w:rPr>
        <w:t xml:space="preserve">Principais Serviços a Bordo — VIVA All-Inclusive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262626"/>
          <w:sz w:val="24"/>
          <w:szCs w:val="24"/>
        </w:rPr>
        <w:t xml:space="preserve">Pensão completa: café da manhã em buffet, almoço e jantar (menus gourmet servidos à mesa), com mesa livre e horários flexíveis.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262626"/>
          <w:sz w:val="24"/>
          <w:szCs w:val="24"/>
        </w:rPr>
        <w:t xml:space="preserve">Bebidas não alcoólicas e alcoólicas selecionadas disponíveis o dia todo.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262626"/>
          <w:sz w:val="24"/>
          <w:szCs w:val="24"/>
        </w:rPr>
        <w:t xml:space="preserve">High Tea: uma vez por viagem, seleção de scones, sanduíches, cupcakes, chocolates e macarons, harmonizados com variedade de chás.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262626"/>
          <w:sz w:val="24"/>
          <w:szCs w:val="24"/>
        </w:rPr>
        <w:t xml:space="preserve">Frigobar reabastecido diariamente e garrafa de água reutilizável na cabine.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262626"/>
          <w:sz w:val="24"/>
          <w:szCs w:val="24"/>
        </w:rPr>
        <w:t xml:space="preserve">Boas-vindas com champanhe a bordo.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262626"/>
          <w:sz w:val="24"/>
          <w:szCs w:val="24"/>
        </w:rPr>
        <w:t xml:space="preserve">Produtos de beleza selecionados da RITUALS.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262626"/>
          <w:sz w:val="24"/>
          <w:szCs w:val="24"/>
        </w:rPr>
        <w:t xml:space="preserve">Wi-Fi gratuito a bordo.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262626"/>
          <w:sz w:val="24"/>
          <w:szCs w:val="24"/>
        </w:rPr>
        <w:t xml:space="preserve">Gorjetas para toda a tripulação incluídas.</w:t>
      </w:r>
    </w:p>
    <w:p>
      <w:pPr>
        <w:spacing w:after="30" w:before="80"/>
        <w:jc w:val="center"/>
      </w:pPr>
      <w:r>
        <w:drawing>
          <wp:inline distT="0" distB="0" distL="0" distR="0">
            <wp:extent cx="3619500" cy="24098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i/>
          <w:iCs/>
          <w:color w:val="595959"/>
          <w:sz w:val="18"/>
          <w:szCs w:val="18"/>
        </w:rPr>
        <w:t xml:space="preserve">Cabine a bordo do MS VIVA TIARA</w:t>
      </w:r>
    </w:p>
    <w:p>
      <w:pPr>
        <w:pStyle w:val="Heading1"/>
        <w:pBdr>
          <w:bottom w:val="single" w:color="B08D57" w:sz="8" w:space="4"/>
        </w:pBdr>
        <w:spacing w:after="100" w:before="100"/>
      </w:pPr>
      <w:r>
        <w:rPr>
          <w:b/>
          <w:bCs/>
          <w:color w:val="1F4E5F"/>
          <w:sz w:val="34"/>
          <w:szCs w:val="34"/>
        </w:rPr>
        <w:t xml:space="preserve">Datas de Partida (Promoção Outono)</w:t>
      </w:r>
    </w:p>
    <w:p>
      <w:pPr>
        <w:spacing w:after="120"/>
      </w:pPr>
      <w:r>
        <w:rPr>
          <w:color w:val="262626"/>
          <w:sz w:val="24"/>
          <w:szCs w:val="24"/>
        </w:rPr>
        <w:t xml:space="preserve">Reservando até 30 de setembro de 2026, o passageiro recebe crédito de €100 em passagens aéreas para as seguintes datas de embarque: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262626"/>
          <w:sz w:val="24"/>
          <w:szCs w:val="24"/>
        </w:rPr>
        <w:t xml:space="preserve">4 a 8 de novembro de 2026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262626"/>
          <w:sz w:val="24"/>
          <w:szCs w:val="24"/>
        </w:rPr>
        <w:t xml:space="preserve">12 a 16 de novembro de 2026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262626"/>
          <w:sz w:val="24"/>
          <w:szCs w:val="24"/>
        </w:rPr>
        <w:t xml:space="preserve">20 a 24 de novembro de 2026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262626"/>
          <w:sz w:val="24"/>
          <w:szCs w:val="24"/>
        </w:rPr>
        <w:t xml:space="preserve">28 de novembro a 2 de dezembro de 2026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262626"/>
          <w:sz w:val="24"/>
          <w:szCs w:val="24"/>
        </w:rPr>
        <w:t xml:space="preserve">14 a 18 de dezembro de 2026</w:t>
      </w:r>
    </w:p>
    <w:sectPr>
      <w:pgSz w:w="11906" w:h="16838" w:orient="portrait"/>
      <w:pgMar w:top="700" w:right="900" w:bottom="7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2d19a2fe5860620852f675367618bb94937fbcae.jpg"/><Relationship Id="rId8" Type="http://schemas.openxmlformats.org/officeDocument/2006/relationships/image" Target="media/e7a7e34df28f050c4bf494c06087d0d26e4102e7.jpg"/><Relationship Id="rId9" Type="http://schemas.openxmlformats.org/officeDocument/2006/relationships/image" Target="media/1edc528def39a6ce375cf396af38f5f40af4b93a.jpg"/><Relationship Id="rId10" Type="http://schemas.openxmlformats.org/officeDocument/2006/relationships/image" Target="media/5efc199d10e1a9960bd8eff6547eb9f555155ceb.jpg"/><Relationship Id="rId11" Type="http://schemas.openxmlformats.org/officeDocument/2006/relationships/image" Target="media/22f2344560537e16c586242007bf5380012288b1.jp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2026-09-12T18:12:41.319Z</dcterms:created>
  <dcterms:modified xsi:type="dcterms:W3CDTF">2026-09-12T18:12:41.330Z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